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B" w:rsidRPr="003470A1" w:rsidRDefault="008F544B" w:rsidP="008F544B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470A1">
        <w:rPr>
          <w:rFonts w:ascii="Times New Roman" w:hAnsi="Times New Roman"/>
          <w:b/>
          <w:bCs/>
          <w:sz w:val="28"/>
          <w:szCs w:val="28"/>
        </w:rPr>
        <w:t>Разделы (темы) дисциплины и компетенции, которые формируются при их изучении: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2"/>
        <w:gridCol w:w="11060"/>
        <w:gridCol w:w="1134"/>
      </w:tblGrid>
      <w:tr w:rsidR="008F544B" w:rsidRPr="003470A1" w:rsidTr="00D2057F">
        <w:tc>
          <w:tcPr>
            <w:tcW w:w="534" w:type="dxa"/>
            <w:vAlign w:val="center"/>
          </w:tcPr>
          <w:p w:rsidR="008F544B" w:rsidRPr="003470A1" w:rsidRDefault="008F544B" w:rsidP="00D2057F">
            <w:pPr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</w:tcPr>
          <w:p w:rsidR="008F544B" w:rsidRPr="003470A1" w:rsidRDefault="008F544B" w:rsidP="00D2057F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Наименов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ние раздела (или темы) дисциплины</w:t>
            </w:r>
          </w:p>
        </w:tc>
        <w:tc>
          <w:tcPr>
            <w:tcW w:w="11056" w:type="dxa"/>
            <w:vAlign w:val="center"/>
          </w:tcPr>
          <w:p w:rsidR="008F544B" w:rsidRPr="003470A1" w:rsidRDefault="008F544B" w:rsidP="00D2057F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Содержание раздела (темы) в дидактических единицах</w:t>
            </w:r>
          </w:p>
        </w:tc>
        <w:tc>
          <w:tcPr>
            <w:tcW w:w="1134" w:type="dxa"/>
            <w:vAlign w:val="center"/>
          </w:tcPr>
          <w:p w:rsidR="008F544B" w:rsidRPr="003470A1" w:rsidRDefault="008F544B" w:rsidP="00D2057F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sz w:val="28"/>
                <w:szCs w:val="28"/>
              </w:rPr>
              <w:t>Код комп</w:t>
            </w:r>
            <w:r w:rsidRPr="003470A1">
              <w:rPr>
                <w:rFonts w:ascii="Times New Roman" w:hAnsi="Times New Roman"/>
                <w:sz w:val="28"/>
                <w:szCs w:val="28"/>
              </w:rPr>
              <w:t>е</w:t>
            </w:r>
            <w:r w:rsidRPr="003470A1">
              <w:rPr>
                <w:rFonts w:ascii="Times New Roman" w:hAnsi="Times New Roman"/>
                <w:sz w:val="28"/>
                <w:szCs w:val="28"/>
              </w:rPr>
              <w:t>тенций</w:t>
            </w:r>
          </w:p>
        </w:tc>
      </w:tr>
      <w:tr w:rsidR="008F544B" w:rsidRPr="003470A1" w:rsidTr="00D2057F">
        <w:tc>
          <w:tcPr>
            <w:tcW w:w="534" w:type="dxa"/>
            <w:vAlign w:val="center"/>
          </w:tcPr>
          <w:p w:rsidR="008F544B" w:rsidRPr="003470A1" w:rsidRDefault="008F544B" w:rsidP="008F544B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Роль во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растного фактора в патологии детского возраста</w:t>
            </w:r>
          </w:p>
        </w:tc>
        <w:tc>
          <w:tcPr>
            <w:tcW w:w="11056" w:type="dxa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Методика сбора анамнеза жизни и болезни ребенка. Особенности расспроса родителей и детей. Схема анамнеза болезни и анамнеза жизни. Опенка анамнеза жизни для пони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мания особенностей развития ребенка и выделение </w:t>
            </w:r>
            <w:proofErr w:type="gramStart"/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факторов риска нарушения здоровья ребе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  <w:proofErr w:type="gramEnd"/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. Закономерности роста и развития ребенка.</w:t>
            </w:r>
          </w:p>
        </w:tc>
        <w:tc>
          <w:tcPr>
            <w:tcW w:w="1134" w:type="dxa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ПК 16, ПК 31</w:t>
            </w:r>
          </w:p>
        </w:tc>
      </w:tr>
      <w:tr w:rsidR="008F544B" w:rsidRPr="003470A1" w:rsidTr="00D2057F">
        <w:tc>
          <w:tcPr>
            <w:tcW w:w="534" w:type="dxa"/>
            <w:vAlign w:val="center"/>
          </w:tcPr>
          <w:p w:rsidR="008F544B" w:rsidRPr="003470A1" w:rsidRDefault="008F544B" w:rsidP="008F544B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Анатомо-физиолог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ческие ос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 xml:space="preserve">бенности детского организма. Семиотика поражения различных органов и систем. </w:t>
            </w:r>
          </w:p>
        </w:tc>
        <w:tc>
          <w:tcPr>
            <w:tcW w:w="11056" w:type="dxa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Морфологические и функциональные особенности кожи, ее придатков и подкожной жировой клетчатки, анатомо-физиологические особенности костно-мышечной системы, системы дыхания, кровообращения, пищеварения, мочеобразования и</w:t>
            </w:r>
            <w:r w:rsidRPr="003470A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мочевыделения, орг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 кроветворения, иммунной системы и эндокринной системы у детей и подростков. </w:t>
            </w: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 xml:space="preserve">Семиотика поражения 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кожи, ее придатков и подкожной жировой клетчатки, костно-мышечной системы, системы дыхания, кровообращения, пищеварения, мочеобразования и мочевыделения, органов кроветворения, иммунной системы и эндокринной системы у детей и подростков. Методы исследования этих систем.</w:t>
            </w:r>
          </w:p>
        </w:tc>
        <w:tc>
          <w:tcPr>
            <w:tcW w:w="1134" w:type="dxa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ПК 17, ПК 18, ПК 31</w:t>
            </w:r>
          </w:p>
        </w:tc>
      </w:tr>
      <w:tr w:rsidR="008F544B" w:rsidRPr="003470A1" w:rsidTr="00D2057F">
        <w:trPr>
          <w:trHeight w:val="699"/>
        </w:trPr>
        <w:tc>
          <w:tcPr>
            <w:tcW w:w="534" w:type="dxa"/>
            <w:vAlign w:val="center"/>
          </w:tcPr>
          <w:p w:rsidR="008F544B" w:rsidRPr="003470A1" w:rsidRDefault="008F544B" w:rsidP="008F544B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Диететика детского возраста.</w:t>
            </w:r>
          </w:p>
        </w:tc>
        <w:tc>
          <w:tcPr>
            <w:tcW w:w="11056" w:type="dxa"/>
          </w:tcPr>
          <w:p w:rsidR="008F544B" w:rsidRPr="003470A1" w:rsidRDefault="008F544B" w:rsidP="00D2057F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рационального питания детей раннего возрас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та. Естественное вскармливание. Введение прикорма, обоснование необходимости, признаки готов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ности ребенка к введению прикорма. Группы продуктов, использующихся при приготовлении блюд прикорма. Сроки введения первого прикорма. Правила введения блюд прикорма. Искусственное вскармливание. Классификация молочных смесей для искусственного вскармлива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ния. Правила искусственного вскармливания, критерии оценки его эф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фективности, наиболее частые ошибки. Сроки введения соков, фруктовых пюре и пр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корма при искусствен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ном вскармливании, использование консервированных продуктов питания. Смешанное вскармливание. Питание здоровых детей от 1 года до 3 лет. Орган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470A1">
              <w:rPr>
                <w:rFonts w:ascii="Times New Roman" w:hAnsi="Times New Roman"/>
                <w:color w:val="000000"/>
                <w:sz w:val="28"/>
                <w:szCs w:val="28"/>
              </w:rPr>
              <w:t>зация питания детей в детских учреждениях. Понятие о физиологических столах.</w:t>
            </w:r>
          </w:p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44B" w:rsidRPr="003470A1" w:rsidRDefault="008F544B" w:rsidP="00D205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0A1">
              <w:rPr>
                <w:rFonts w:ascii="Times New Roman" w:hAnsi="Times New Roman"/>
                <w:bCs/>
                <w:sz w:val="28"/>
                <w:szCs w:val="28"/>
              </w:rPr>
              <w:t>ПК 16, ПК 31</w:t>
            </w:r>
          </w:p>
        </w:tc>
      </w:tr>
    </w:tbl>
    <w:p w:rsidR="001A0FB9" w:rsidRPr="008F544B" w:rsidRDefault="001A0FB9" w:rsidP="008F544B"/>
    <w:sectPr w:rsidR="001A0FB9" w:rsidRPr="008F544B" w:rsidSect="00FF5B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B05"/>
    <w:rsid w:val="001A0FB9"/>
    <w:rsid w:val="00484BF8"/>
    <w:rsid w:val="008F544B"/>
    <w:rsid w:val="00FF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2015-04-14T11:29:00Z</dcterms:created>
  <dcterms:modified xsi:type="dcterms:W3CDTF">2015-04-14T11:32:00Z</dcterms:modified>
</cp:coreProperties>
</file>