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7C" w:rsidRPr="0086027C" w:rsidRDefault="00BE1BCA" w:rsidP="00860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ВПО «А</w:t>
      </w:r>
      <w:r w:rsidR="0086027C" w:rsidRPr="0086027C">
        <w:rPr>
          <w:rFonts w:ascii="Times New Roman" w:hAnsi="Times New Roman" w:cs="Times New Roman"/>
          <w:sz w:val="28"/>
          <w:szCs w:val="28"/>
        </w:rPr>
        <w:t>страханский государственный медицинский университет»</w:t>
      </w:r>
    </w:p>
    <w:p w:rsidR="0086027C" w:rsidRDefault="0086027C" w:rsidP="00860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27C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86027C" w:rsidRDefault="0086027C" w:rsidP="00860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27C" w:rsidRDefault="0086027C" w:rsidP="00860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«Поликлиническое дело и скорая медицинская помощь</w:t>
      </w:r>
    </w:p>
    <w:p w:rsidR="0086027C" w:rsidRDefault="0086027C" w:rsidP="00860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курсом семейной медицины»</w:t>
      </w:r>
    </w:p>
    <w:p w:rsidR="0086027C" w:rsidRDefault="0086027C" w:rsidP="00860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27C" w:rsidRPr="0086027C" w:rsidRDefault="0086027C" w:rsidP="00860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7F2" w:rsidRDefault="0086027C" w:rsidP="0086027C">
      <w:pPr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86027C">
        <w:rPr>
          <w:rFonts w:ascii="Times New Roman" w:hAnsi="Times New Roman" w:cs="Times New Roman"/>
          <w:b/>
          <w:caps/>
          <w:sz w:val="48"/>
          <w:szCs w:val="48"/>
        </w:rPr>
        <w:t>Учебные пособия</w:t>
      </w:r>
    </w:p>
    <w:p w:rsidR="0086027C" w:rsidRDefault="0086027C" w:rsidP="00860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89C" w:rsidRPr="007F2F7A" w:rsidRDefault="0025589C" w:rsidP="007F2F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2F7A">
        <w:rPr>
          <w:rFonts w:ascii="Times New Roman" w:hAnsi="Times New Roman" w:cs="Times New Roman"/>
          <w:sz w:val="28"/>
          <w:szCs w:val="28"/>
        </w:rPr>
        <w:t>Галимзянов Х.М., Попов Е.А., ВФомичев В.В.  Разработка рабочих программ учебных дисциплин в соответствии с федеральными государственными образовательными стандартами (Методическое пособие): Методическое пособие.– Астрахань: Издательство АГМА, 2013.- 52 с</w:t>
      </w:r>
    </w:p>
    <w:p w:rsidR="0025589C" w:rsidRPr="007F2F7A" w:rsidRDefault="0025589C" w:rsidP="007F2F7A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25589C" w:rsidRPr="007F2F7A" w:rsidRDefault="0025589C" w:rsidP="007F2F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2F7A">
        <w:rPr>
          <w:rFonts w:ascii="Times New Roman" w:hAnsi="Times New Roman" w:cs="Times New Roman"/>
          <w:sz w:val="28"/>
          <w:szCs w:val="28"/>
        </w:rPr>
        <w:t>Попов Е.А., Шамгунова Б.А., Сартова А.Р., Левитан Б.Н. Иммуногенетические маркеры предрасположенности к пыльцевому аллергическому риниту и пыльцевой бронхиальной астме (Учебно-методическое пособие): Учебно-методическое пособие.– Астрахань: Издательство АГМА, 2013.- 40 с</w:t>
      </w:r>
    </w:p>
    <w:p w:rsidR="0025589C" w:rsidRPr="007F2F7A" w:rsidRDefault="0025589C" w:rsidP="007F2F7A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25589C" w:rsidRPr="007F2F7A" w:rsidRDefault="0025589C" w:rsidP="007F2F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2F7A">
        <w:rPr>
          <w:rFonts w:ascii="Times New Roman" w:hAnsi="Times New Roman" w:cs="Times New Roman"/>
          <w:sz w:val="28"/>
          <w:szCs w:val="28"/>
        </w:rPr>
        <w:t>Основы поликлинической педиатрии: Учебное пособие для вузов / И.А.Аксенов [и др.]; под ред. А.А.Джумагазиева. –Ростов н/Д: Феникс, 2015. -382 с.</w:t>
      </w:r>
    </w:p>
    <w:p w:rsidR="0025589C" w:rsidRPr="007F2F7A" w:rsidRDefault="0025589C" w:rsidP="007F2F7A">
      <w:pPr>
        <w:pStyle w:val="a5"/>
        <w:ind w:left="714" w:hanging="357"/>
        <w:jc w:val="both"/>
        <w:rPr>
          <w:sz w:val="28"/>
          <w:szCs w:val="28"/>
        </w:rPr>
      </w:pPr>
    </w:p>
    <w:p w:rsidR="0025589C" w:rsidRPr="007F2F7A" w:rsidRDefault="0025589C" w:rsidP="007F2F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2F7A">
        <w:rPr>
          <w:rFonts w:ascii="Times New Roman" w:hAnsi="Times New Roman" w:cs="Times New Roman"/>
          <w:sz w:val="28"/>
          <w:szCs w:val="28"/>
        </w:rPr>
        <w:t>Величко Е.В., Райский Д.В., Джумагазиев А.А., Джальмухамедова Э.И., Шайдакова Н.В. Развитие двигательных способностей и коррекция двигательных нарушений у детей с проявлениями гипокинезии в условиях дома ребёнка. Учебно-методическое пособие для медицинских работников и педагогов домов ребенка // Астрахань: изд-во АГМА, 2013. -239с.</w:t>
      </w:r>
    </w:p>
    <w:p w:rsidR="0025589C" w:rsidRPr="007F2F7A" w:rsidRDefault="0025589C" w:rsidP="007F2F7A">
      <w:pPr>
        <w:pStyle w:val="a5"/>
        <w:ind w:left="714" w:hanging="357"/>
        <w:jc w:val="both"/>
        <w:rPr>
          <w:sz w:val="28"/>
          <w:szCs w:val="28"/>
        </w:rPr>
      </w:pPr>
    </w:p>
    <w:p w:rsidR="0025589C" w:rsidRPr="007F2F7A" w:rsidRDefault="0025589C" w:rsidP="007F2F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2F7A">
        <w:rPr>
          <w:rFonts w:ascii="Times New Roman" w:hAnsi="Times New Roman" w:cs="Times New Roman"/>
          <w:sz w:val="28"/>
          <w:szCs w:val="28"/>
        </w:rPr>
        <w:t>Андросюк Н.Г., Попов Е.А., Сердюков А.Г., Гальцев С.С., Хилова Л.Н., садвакасова Н.Р., Рудан Л.И. Планы ведения пациентов кардиологического профиля. Диагностика. Лечение. Безопасность. Экспертиза нетрудоспособности (методические рекомендации) //</w:t>
      </w:r>
      <w:r w:rsidRPr="007F2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F7A">
        <w:rPr>
          <w:rFonts w:ascii="Times New Roman" w:hAnsi="Times New Roman" w:cs="Times New Roman"/>
          <w:sz w:val="28"/>
          <w:szCs w:val="28"/>
        </w:rPr>
        <w:t>Астрахань, 2012.- 161 с.</w:t>
      </w:r>
    </w:p>
    <w:p w:rsidR="0025589C" w:rsidRPr="007F2F7A" w:rsidRDefault="0025589C" w:rsidP="007F2F7A">
      <w:pPr>
        <w:pStyle w:val="a5"/>
        <w:ind w:left="714" w:hanging="357"/>
        <w:jc w:val="both"/>
        <w:rPr>
          <w:sz w:val="28"/>
          <w:szCs w:val="28"/>
        </w:rPr>
      </w:pPr>
    </w:p>
    <w:p w:rsidR="0025589C" w:rsidRPr="007F2F7A" w:rsidRDefault="0025589C" w:rsidP="007F2F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2F7A">
        <w:rPr>
          <w:rFonts w:ascii="Times New Roman" w:hAnsi="Times New Roman" w:cs="Times New Roman"/>
          <w:sz w:val="28"/>
          <w:szCs w:val="28"/>
        </w:rPr>
        <w:t>Шамгунова Б.А., Попов Е.А., Заклякова Л.В., Левитан Б.Н. Факторы риска пыльцевой аллергии у населения Астраханской области: (учебное пособие). - Астрахань: АГМА, 2012. - 42 с</w:t>
      </w:r>
    </w:p>
    <w:p w:rsidR="0025589C" w:rsidRPr="007F2F7A" w:rsidRDefault="0025589C" w:rsidP="007F2F7A">
      <w:pPr>
        <w:pStyle w:val="a5"/>
        <w:ind w:left="714" w:hanging="357"/>
        <w:jc w:val="both"/>
        <w:rPr>
          <w:sz w:val="28"/>
          <w:szCs w:val="28"/>
        </w:rPr>
      </w:pPr>
    </w:p>
    <w:p w:rsidR="0025589C" w:rsidRPr="007F2F7A" w:rsidRDefault="0086027C" w:rsidP="007F2F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2F7A">
        <w:rPr>
          <w:rFonts w:ascii="Times New Roman" w:hAnsi="Times New Roman" w:cs="Times New Roman"/>
          <w:sz w:val="28"/>
          <w:szCs w:val="28"/>
        </w:rPr>
        <w:lastRenderedPageBreak/>
        <w:t>Попов Е.А., Андросюк Н.Г., Сердюков А.Г., Григорьева Ю.Г. «Основы амбулаторной и экстренной медицинской помощи». Учебное пособие.– Астрахань: Изд. АГМА, 2011. – 222 с.</w:t>
      </w:r>
    </w:p>
    <w:p w:rsidR="0025589C" w:rsidRPr="007F2F7A" w:rsidRDefault="0025589C" w:rsidP="007F2F7A">
      <w:pPr>
        <w:pStyle w:val="a5"/>
        <w:ind w:left="714" w:hanging="357"/>
        <w:jc w:val="both"/>
        <w:rPr>
          <w:sz w:val="28"/>
          <w:szCs w:val="28"/>
        </w:rPr>
      </w:pPr>
    </w:p>
    <w:p w:rsidR="0025589C" w:rsidRPr="007F2F7A" w:rsidRDefault="0025589C" w:rsidP="007F2F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2F7A">
        <w:rPr>
          <w:rFonts w:ascii="Times New Roman" w:hAnsi="Times New Roman" w:cs="Times New Roman"/>
          <w:sz w:val="28"/>
          <w:szCs w:val="28"/>
        </w:rPr>
        <w:t xml:space="preserve">Аксенов И.А., Джумагазиев А.А. Диагностика и прогнозирование нарушений здоровья у детей при воздействии атмосферных поллютантов: Учебно-методическое пособие. – Астрахань: Изд-во АГМА, 2009. – 38 с. </w:t>
      </w:r>
    </w:p>
    <w:p w:rsidR="0025589C" w:rsidRPr="007F2F7A" w:rsidRDefault="0025589C" w:rsidP="007F2F7A">
      <w:pPr>
        <w:pStyle w:val="a5"/>
        <w:ind w:left="714" w:hanging="357"/>
        <w:jc w:val="both"/>
        <w:rPr>
          <w:sz w:val="28"/>
          <w:szCs w:val="28"/>
        </w:rPr>
      </w:pPr>
    </w:p>
    <w:p w:rsidR="0025589C" w:rsidRPr="007F2F7A" w:rsidRDefault="0025589C" w:rsidP="007F2F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2F7A">
        <w:rPr>
          <w:rFonts w:ascii="Times New Roman" w:hAnsi="Times New Roman" w:cs="Times New Roman"/>
          <w:sz w:val="28"/>
          <w:szCs w:val="28"/>
        </w:rPr>
        <w:t>Минаков А.А. Минаков А.Д., попов Е.А., Иванов С.П. Медико-социальная экспертиза при хирургических болезнях магистральных сосудов нижних конечностей. Учебно-методическое пособие // Астрахань.- 2009.- 51 с.</w:t>
      </w:r>
    </w:p>
    <w:p w:rsidR="0025589C" w:rsidRPr="007F2F7A" w:rsidRDefault="0025589C" w:rsidP="007F2F7A">
      <w:pPr>
        <w:pStyle w:val="a5"/>
        <w:ind w:left="714" w:hanging="357"/>
        <w:jc w:val="both"/>
        <w:rPr>
          <w:sz w:val="28"/>
          <w:szCs w:val="28"/>
        </w:rPr>
      </w:pPr>
    </w:p>
    <w:p w:rsidR="0025589C" w:rsidRPr="007F2F7A" w:rsidRDefault="0025589C" w:rsidP="007F2F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2F7A">
        <w:rPr>
          <w:rFonts w:ascii="Times New Roman" w:hAnsi="Times New Roman" w:cs="Times New Roman"/>
          <w:sz w:val="28"/>
          <w:szCs w:val="28"/>
        </w:rPr>
        <w:t>Минаков А.А. Формирование фасций и клетчаточных пространств малого таза и их отношение к органам. Учебно-методическое пособие для студентов, интернов и ординаторов, // Астрахань: изд-во АГМА, 2009. - 33с.</w:t>
      </w:r>
    </w:p>
    <w:p w:rsidR="0025589C" w:rsidRPr="007F2F7A" w:rsidRDefault="0025589C" w:rsidP="007F2F7A">
      <w:pPr>
        <w:pStyle w:val="a5"/>
        <w:ind w:left="714" w:hanging="357"/>
        <w:jc w:val="both"/>
        <w:rPr>
          <w:sz w:val="28"/>
          <w:szCs w:val="28"/>
        </w:rPr>
      </w:pPr>
    </w:p>
    <w:p w:rsidR="0025589C" w:rsidRPr="007F2F7A" w:rsidRDefault="0025589C" w:rsidP="007F2F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2F7A">
        <w:rPr>
          <w:rFonts w:ascii="Times New Roman" w:hAnsi="Times New Roman" w:cs="Times New Roman"/>
          <w:sz w:val="28"/>
          <w:szCs w:val="28"/>
        </w:rPr>
        <w:t xml:space="preserve">Джумагазиев А.А., Козина Т.Ф., Аксенов И.А. Прогнозирование, профилактика и реабилитация часто болеющих детей: Учебно-методическое пособие. – Астрахань: Изд-во АГМА, 2009. – 46 с. </w:t>
      </w:r>
    </w:p>
    <w:p w:rsidR="0025589C" w:rsidRPr="007F2F7A" w:rsidRDefault="0025589C" w:rsidP="007F2F7A">
      <w:pPr>
        <w:pStyle w:val="a5"/>
        <w:ind w:left="714" w:hanging="357"/>
        <w:jc w:val="both"/>
        <w:rPr>
          <w:sz w:val="28"/>
          <w:szCs w:val="28"/>
        </w:rPr>
      </w:pPr>
    </w:p>
    <w:p w:rsidR="00C177F2" w:rsidRPr="007F2F7A" w:rsidRDefault="0086027C" w:rsidP="007F2F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2F7A">
        <w:rPr>
          <w:rFonts w:ascii="Times New Roman" w:hAnsi="Times New Roman" w:cs="Times New Roman"/>
          <w:sz w:val="28"/>
          <w:szCs w:val="28"/>
        </w:rPr>
        <w:t>Кудряшева И.А., Андросюк Н.Г., Андросюк Ю.Г. «Организация работы врача первичного звена здравоохранения». Учебное пособие, рекомендованное УМО по мед. и фарм. образованию вузов России. – Астрахань: Изд. АГМА, 2008. –  226 с.</w:t>
      </w:r>
    </w:p>
    <w:p w:rsidR="003237D2" w:rsidRPr="007F2F7A" w:rsidRDefault="003237D2" w:rsidP="007F2F7A">
      <w:pPr>
        <w:pStyle w:val="a5"/>
        <w:ind w:left="714" w:hanging="357"/>
        <w:jc w:val="both"/>
        <w:rPr>
          <w:sz w:val="28"/>
          <w:szCs w:val="28"/>
        </w:rPr>
      </w:pPr>
    </w:p>
    <w:p w:rsidR="0025589C" w:rsidRPr="007F2F7A" w:rsidRDefault="0025589C" w:rsidP="007F2F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2F7A">
        <w:rPr>
          <w:rFonts w:ascii="Times New Roman" w:hAnsi="Times New Roman" w:cs="Times New Roman"/>
          <w:sz w:val="28"/>
          <w:szCs w:val="28"/>
        </w:rPr>
        <w:t>Левитан Б.Н., Попов Е.А., Заклякова Л.В. Современная диагностика и лечение острых лейкозов (Учебное пособие): Учебное пособие. -Астрахань: АГМА.- 2008.- 86 с</w:t>
      </w:r>
    </w:p>
    <w:p w:rsidR="0025589C" w:rsidRPr="007F2F7A" w:rsidRDefault="0025589C" w:rsidP="007F2F7A">
      <w:pPr>
        <w:pStyle w:val="a5"/>
        <w:ind w:left="714" w:hanging="357"/>
        <w:jc w:val="both"/>
        <w:rPr>
          <w:sz w:val="28"/>
          <w:szCs w:val="28"/>
        </w:rPr>
      </w:pPr>
    </w:p>
    <w:p w:rsidR="0025589C" w:rsidRPr="007F2F7A" w:rsidRDefault="0025589C" w:rsidP="007F2F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2F7A">
        <w:rPr>
          <w:rFonts w:ascii="Times New Roman" w:hAnsi="Times New Roman" w:cs="Times New Roman"/>
          <w:sz w:val="28"/>
          <w:szCs w:val="28"/>
        </w:rPr>
        <w:t>Попов Е.А., Левитан Б.Н., Заклякова Л.В. Острый лейкоз: (учебное пособие) : рекомендовано УМО по мед. и фарм. образованию вузов России.- Астрахань: АГМА, 2007. - 56с.</w:t>
      </w:r>
    </w:p>
    <w:p w:rsidR="0025589C" w:rsidRPr="007F2F7A" w:rsidRDefault="0025589C" w:rsidP="007F2F7A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25589C" w:rsidRPr="007F2F7A" w:rsidRDefault="0025589C" w:rsidP="007F2F7A">
      <w:pPr>
        <w:numPr>
          <w:ilvl w:val="0"/>
          <w:numId w:val="1"/>
        </w:numPr>
        <w:tabs>
          <w:tab w:val="num" w:pos="-108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2F7A">
        <w:rPr>
          <w:rFonts w:ascii="Times New Roman" w:hAnsi="Times New Roman" w:cs="Times New Roman"/>
          <w:sz w:val="28"/>
          <w:szCs w:val="28"/>
        </w:rPr>
        <w:t>Минаков А.А., Мирошников В.М., Минаков А.Д., Зурнаджан С.А. Простата в онтогенезе человека. Учебно-методическое пособие.- Астрахань.- 2007.- 86 с</w:t>
      </w:r>
    </w:p>
    <w:p w:rsidR="0025589C" w:rsidRPr="007F2F7A" w:rsidRDefault="0025589C" w:rsidP="007F2F7A">
      <w:pPr>
        <w:pStyle w:val="a5"/>
        <w:ind w:left="714" w:hanging="357"/>
        <w:jc w:val="both"/>
        <w:rPr>
          <w:sz w:val="28"/>
          <w:szCs w:val="28"/>
        </w:rPr>
      </w:pPr>
    </w:p>
    <w:p w:rsidR="0025589C" w:rsidRPr="007F2F7A" w:rsidRDefault="0025589C" w:rsidP="007F2F7A">
      <w:pPr>
        <w:numPr>
          <w:ilvl w:val="0"/>
          <w:numId w:val="1"/>
        </w:numPr>
        <w:tabs>
          <w:tab w:val="num" w:pos="-108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2F7A">
        <w:rPr>
          <w:rFonts w:ascii="Times New Roman" w:hAnsi="Times New Roman" w:cs="Times New Roman"/>
          <w:sz w:val="28"/>
          <w:szCs w:val="28"/>
        </w:rPr>
        <w:t>Райский Д.В., Джумагазиев А.А., Рамаева Р.Р., Козина Т.Ф., Гуськов В.В., Плотникова А.И., Швечихина Е.Р. Основы поликлинической педиатрии: учебно-методическое пособие –Ростов-на-Дону, 2007.- 24 с</w:t>
      </w:r>
    </w:p>
    <w:p w:rsidR="0025589C" w:rsidRPr="007F2F7A" w:rsidRDefault="0025589C" w:rsidP="007F2F7A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25589C" w:rsidRPr="007F2F7A" w:rsidRDefault="0025589C" w:rsidP="007F2F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2F7A">
        <w:rPr>
          <w:rFonts w:ascii="Times New Roman" w:hAnsi="Times New Roman" w:cs="Times New Roman"/>
          <w:sz w:val="28"/>
          <w:szCs w:val="28"/>
        </w:rPr>
        <w:lastRenderedPageBreak/>
        <w:t>Левитан Б.Н., Попов Е.А. Дефицит железа в клинической практике: (учебное пособие): рекомендовано УМО по мед. и фарм. образованию вузов России.- Астрахань: Изд-во АГМА, 2006. - 91с.</w:t>
      </w:r>
    </w:p>
    <w:p w:rsidR="0025589C" w:rsidRPr="007F2F7A" w:rsidRDefault="0025589C" w:rsidP="007F2F7A">
      <w:pPr>
        <w:pStyle w:val="a5"/>
        <w:ind w:left="714" w:hanging="357"/>
        <w:jc w:val="both"/>
        <w:rPr>
          <w:sz w:val="28"/>
          <w:szCs w:val="28"/>
        </w:rPr>
      </w:pPr>
    </w:p>
    <w:p w:rsidR="0025589C" w:rsidRPr="007F2F7A" w:rsidRDefault="0025589C" w:rsidP="007F2F7A">
      <w:pPr>
        <w:numPr>
          <w:ilvl w:val="0"/>
          <w:numId w:val="1"/>
        </w:numPr>
        <w:tabs>
          <w:tab w:val="num" w:pos="-108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2F7A">
        <w:rPr>
          <w:rFonts w:ascii="Times New Roman" w:hAnsi="Times New Roman" w:cs="Times New Roman"/>
          <w:sz w:val="28"/>
          <w:szCs w:val="28"/>
        </w:rPr>
        <w:t>Райский Д.В., Джумагазиев А.А., Шайдакова Н.В. Дом ребенка: медико-правовые аспекты поступления, пребывания и выписки детей.- Учебно-методическое пособие. –Астрахань: изд-во АГМА, 2006.- 35 с</w:t>
      </w:r>
    </w:p>
    <w:p w:rsidR="0025589C" w:rsidRPr="007F2F7A" w:rsidRDefault="0025589C" w:rsidP="007F2F7A">
      <w:pPr>
        <w:pStyle w:val="a5"/>
        <w:ind w:left="714" w:hanging="357"/>
        <w:jc w:val="both"/>
        <w:rPr>
          <w:sz w:val="28"/>
          <w:szCs w:val="28"/>
        </w:rPr>
      </w:pPr>
    </w:p>
    <w:p w:rsidR="0025589C" w:rsidRPr="007F2F7A" w:rsidRDefault="0025589C" w:rsidP="007F2F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2F7A">
        <w:rPr>
          <w:rFonts w:ascii="Times New Roman" w:hAnsi="Times New Roman" w:cs="Times New Roman"/>
          <w:sz w:val="28"/>
          <w:szCs w:val="28"/>
        </w:rPr>
        <w:t xml:space="preserve">Попов Е.А., Левитан Б.Н., Астахин А.В., Горбанёв Е.А., Николаева Н.Н., Егорова С.П., Локотош М.С., Колчина О.С., Екимова О.С. Методические указания к практическим занятиям по внутренним болезням на кафедре факультетской терапии с эндокринологией для студентов 4-го курса лечебного факультета (Учебно-методическое пособие): Учебно-методическое пособие. - Астрахань: Издательство АГМА, 2005.- 116 стр </w:t>
      </w:r>
    </w:p>
    <w:p w:rsidR="0025589C" w:rsidRPr="007F2F7A" w:rsidRDefault="0025589C" w:rsidP="007F2F7A">
      <w:pPr>
        <w:pStyle w:val="a5"/>
        <w:ind w:left="714" w:hanging="357"/>
        <w:jc w:val="both"/>
        <w:rPr>
          <w:sz w:val="28"/>
          <w:szCs w:val="28"/>
        </w:rPr>
      </w:pPr>
    </w:p>
    <w:p w:rsidR="0025589C" w:rsidRPr="007F2F7A" w:rsidRDefault="0025589C" w:rsidP="007F2F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2F7A">
        <w:rPr>
          <w:rFonts w:ascii="Times New Roman" w:hAnsi="Times New Roman" w:cs="Times New Roman"/>
          <w:sz w:val="28"/>
          <w:szCs w:val="28"/>
        </w:rPr>
        <w:t>Левитан Б.Н., Попов Е.А. Железодефицитная анемия (Учебное пособие):  Учебное пособие. -Астрахань: Издательство АГМА, 2005.- 44 с</w:t>
      </w:r>
    </w:p>
    <w:p w:rsidR="0025589C" w:rsidRPr="007F2F7A" w:rsidRDefault="0025589C" w:rsidP="007F2F7A">
      <w:pPr>
        <w:pStyle w:val="a5"/>
        <w:ind w:left="714" w:hanging="357"/>
        <w:jc w:val="both"/>
        <w:rPr>
          <w:sz w:val="28"/>
          <w:szCs w:val="28"/>
        </w:rPr>
      </w:pPr>
    </w:p>
    <w:p w:rsidR="003237D2" w:rsidRPr="007F2F7A" w:rsidRDefault="00306F8C" w:rsidP="007F2F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2F7A">
        <w:rPr>
          <w:rFonts w:ascii="Times New Roman" w:hAnsi="Times New Roman" w:cs="Times New Roman"/>
          <w:sz w:val="28"/>
          <w:szCs w:val="28"/>
        </w:rPr>
        <w:t>Трубников Н.А., Уклистая НТ.А., Егорова И.О., Андросюк Н.Г., Бочановский В.А., Гринберг Б.А. Ремоделирование сердца при хронических обструктивных заболеваниях легких (методические рекомендации) // Астрахань, Издательство АГМА, 2003, 45 с.</w:t>
      </w:r>
    </w:p>
    <w:p w:rsidR="0025589C" w:rsidRPr="007F2F7A" w:rsidRDefault="0025589C" w:rsidP="007F2F7A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93672B" w:rsidRPr="007F2F7A" w:rsidRDefault="003237D2" w:rsidP="007F2F7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2F7A">
        <w:rPr>
          <w:rFonts w:ascii="Times New Roman" w:hAnsi="Times New Roman" w:cs="Times New Roman"/>
          <w:sz w:val="28"/>
          <w:szCs w:val="28"/>
        </w:rPr>
        <w:t>Аксенов И.А., Бучин В.Н., Давыдова Л.Д., Джумагазиев А.А., Плотникова А.И. Реабилитация часто болеющих детей, проживающих в районах экологического неблагополучия: Учебно-методическое пособие / Под редакцией А.А. Джумагазиева, В.Н. Бучина.- Астрахань, 1997. –24 с.</w:t>
      </w:r>
    </w:p>
    <w:sectPr w:rsidR="0093672B" w:rsidRPr="007F2F7A" w:rsidSect="003237D2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99C" w:rsidRDefault="00F2699C" w:rsidP="003237D2">
      <w:pPr>
        <w:spacing w:after="0" w:line="240" w:lineRule="auto"/>
      </w:pPr>
      <w:r>
        <w:separator/>
      </w:r>
    </w:p>
  </w:endnote>
  <w:endnote w:type="continuationSeparator" w:id="1">
    <w:p w:rsidR="00F2699C" w:rsidRDefault="00F2699C" w:rsidP="0032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4367"/>
      <w:docPartObj>
        <w:docPartGallery w:val="Page Numbers (Bottom of Page)"/>
        <w:docPartUnique/>
      </w:docPartObj>
    </w:sdtPr>
    <w:sdtContent>
      <w:p w:rsidR="003237D2" w:rsidRDefault="00226BEC">
        <w:pPr>
          <w:pStyle w:val="a8"/>
          <w:jc w:val="center"/>
        </w:pPr>
        <w:fldSimple w:instr=" PAGE   \* MERGEFORMAT ">
          <w:r w:rsidR="00BE1BCA">
            <w:rPr>
              <w:noProof/>
            </w:rPr>
            <w:t>1</w:t>
          </w:r>
        </w:fldSimple>
      </w:p>
    </w:sdtContent>
  </w:sdt>
  <w:p w:rsidR="003237D2" w:rsidRDefault="003237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99C" w:rsidRDefault="00F2699C" w:rsidP="003237D2">
      <w:pPr>
        <w:spacing w:after="0" w:line="240" w:lineRule="auto"/>
      </w:pPr>
      <w:r>
        <w:separator/>
      </w:r>
    </w:p>
  </w:footnote>
  <w:footnote w:type="continuationSeparator" w:id="1">
    <w:p w:rsidR="00F2699C" w:rsidRDefault="00F2699C" w:rsidP="00323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F43"/>
    <w:multiLevelType w:val="hybridMultilevel"/>
    <w:tmpl w:val="78247040"/>
    <w:lvl w:ilvl="0" w:tplc="CA90A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D24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44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84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66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B03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66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2B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A7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A140EB7"/>
    <w:multiLevelType w:val="singleLevel"/>
    <w:tmpl w:val="706A01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4AC7934"/>
    <w:multiLevelType w:val="hybridMultilevel"/>
    <w:tmpl w:val="307EA3D8"/>
    <w:lvl w:ilvl="0" w:tplc="1F0C7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EB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26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A5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4A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083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4E4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6D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28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E2315A"/>
    <w:multiLevelType w:val="hybridMultilevel"/>
    <w:tmpl w:val="11122A86"/>
    <w:lvl w:ilvl="0" w:tplc="DF2AE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C3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4E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2C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A3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20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5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920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D08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A53307C"/>
    <w:multiLevelType w:val="hybridMultilevel"/>
    <w:tmpl w:val="F9CC8932"/>
    <w:lvl w:ilvl="0" w:tplc="350ED5F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027C"/>
    <w:rsid w:val="00226BEC"/>
    <w:rsid w:val="0025589C"/>
    <w:rsid w:val="00306F8C"/>
    <w:rsid w:val="003237D2"/>
    <w:rsid w:val="005040CD"/>
    <w:rsid w:val="005D7DDA"/>
    <w:rsid w:val="0062302B"/>
    <w:rsid w:val="006C3970"/>
    <w:rsid w:val="00792B86"/>
    <w:rsid w:val="007A36C7"/>
    <w:rsid w:val="007F2F7A"/>
    <w:rsid w:val="00836678"/>
    <w:rsid w:val="0086027C"/>
    <w:rsid w:val="00910A69"/>
    <w:rsid w:val="0093672B"/>
    <w:rsid w:val="00AE6B3B"/>
    <w:rsid w:val="00B211B1"/>
    <w:rsid w:val="00BE1BCA"/>
    <w:rsid w:val="00C177F2"/>
    <w:rsid w:val="00F2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F2"/>
  </w:style>
  <w:style w:type="paragraph" w:styleId="1">
    <w:name w:val="heading 1"/>
    <w:basedOn w:val="a"/>
    <w:next w:val="a"/>
    <w:link w:val="10"/>
    <w:qFormat/>
    <w:rsid w:val="009367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6F8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306F8C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306F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23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37D2"/>
  </w:style>
  <w:style w:type="paragraph" w:styleId="a8">
    <w:name w:val="footer"/>
    <w:basedOn w:val="a"/>
    <w:link w:val="a9"/>
    <w:uiPriority w:val="99"/>
    <w:unhideWhenUsed/>
    <w:rsid w:val="00323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37D2"/>
  </w:style>
  <w:style w:type="character" w:customStyle="1" w:styleId="10">
    <w:name w:val="Заголовок 1 Знак"/>
    <w:basedOn w:val="a0"/>
    <w:link w:val="1"/>
    <w:rsid w:val="0093672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3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0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0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3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99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2015-03-26T22:11:00Z</dcterms:created>
  <dcterms:modified xsi:type="dcterms:W3CDTF">2015-03-28T08:04:00Z</dcterms:modified>
</cp:coreProperties>
</file>