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A1" w:rsidRDefault="001846A1" w:rsidP="001846A1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здравоохранения Российской Федерации</w:t>
      </w:r>
    </w:p>
    <w:p w:rsidR="001846A1" w:rsidRDefault="001846A1" w:rsidP="001846A1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1846A1" w:rsidRDefault="001846A1" w:rsidP="001846A1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:rsidR="001846A1" w:rsidRDefault="001846A1" w:rsidP="001846A1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Астраханский государственный медицинский университет </w:t>
      </w:r>
    </w:p>
    <w:p w:rsidR="001846A1" w:rsidRDefault="001846A1" w:rsidP="001846A1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(ФГБОУ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ВО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Астраханский ГМУ Минздрава России)</w:t>
      </w:r>
    </w:p>
    <w:p w:rsidR="001846A1" w:rsidRDefault="001846A1" w:rsidP="001846A1">
      <w:pPr>
        <w:keepLines/>
        <w:widowControl w:val="0"/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</w:t>
      </w:r>
    </w:p>
    <w:p w:rsidR="001846A1" w:rsidRDefault="001846A1" w:rsidP="001846A1">
      <w:pPr>
        <w:keepLines/>
        <w:widowControl w:val="0"/>
        <w:ind w:firstLine="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846A1" w:rsidRDefault="001846A1" w:rsidP="001846A1">
      <w:pPr>
        <w:keepLines/>
        <w:widowControl w:val="0"/>
        <w:ind w:firstLine="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6"/>
          <w:lang w:eastAsia="ar-SA"/>
        </w:rPr>
        <w:t xml:space="preserve">Кафедра медицинской реабилитации </w:t>
      </w: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1846A1" w:rsidRDefault="001846A1" w:rsidP="001846A1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МЕТОДИКА </w:t>
      </w:r>
    </w:p>
    <w:p w:rsidR="001846A1" w:rsidRDefault="001846A1" w:rsidP="001846A1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БАЛЛЬНО-РЕЙТИНГОВОЙ СИСТЕМЫ ОЦЕНКИ </w:t>
      </w:r>
    </w:p>
    <w:p w:rsidR="001846A1" w:rsidRDefault="001846A1" w:rsidP="001846A1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УЧЕБНЫХ ДОСТИЖЕНИЙ СТУДЕНТОВ</w:t>
      </w:r>
    </w:p>
    <w:p w:rsidR="001846A1" w:rsidRDefault="001846A1" w:rsidP="001846A1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 ПО ДИСЦИПЛИНЕ </w:t>
      </w:r>
    </w:p>
    <w:p w:rsidR="001846A1" w:rsidRDefault="001846A1" w:rsidP="001846A1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«МЕДИЦИНСКАЯ РЕАБИЛИТАЦИЯ»</w:t>
      </w:r>
    </w:p>
    <w:p w:rsidR="001846A1" w:rsidRDefault="001846A1" w:rsidP="001846A1">
      <w:pPr>
        <w:keepNext/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1846A1" w:rsidRDefault="001846A1" w:rsidP="001846A1">
      <w:pPr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Специальность</w:t>
      </w:r>
    </w:p>
    <w:p w:rsidR="001846A1" w:rsidRDefault="001846A1" w:rsidP="001846A1">
      <w:pPr>
        <w:spacing w:before="120"/>
        <w:ind w:firstLine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31.05.0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СТОМАТОЛОГИЯ</w:t>
      </w:r>
    </w:p>
    <w:p w:rsidR="001846A1" w:rsidRDefault="001846A1" w:rsidP="001846A1">
      <w:pPr>
        <w:ind w:firstLine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846A1" w:rsidRDefault="001846A1" w:rsidP="001846A1">
      <w:pPr>
        <w:spacing w:before="120"/>
        <w:ind w:firstLine="0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P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1846A1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Описание шкал оценивания</w:t>
      </w:r>
    </w:p>
    <w:p w:rsidR="001846A1" w:rsidRPr="001846A1" w:rsidRDefault="001846A1" w:rsidP="001846A1">
      <w:pPr>
        <w:tabs>
          <w:tab w:val="left" w:pos="284"/>
        </w:tabs>
        <w:ind w:firstLine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pacing w:val="-11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spacing w:val="-7"/>
          <w:kern w:val="1"/>
          <w:sz w:val="24"/>
          <w:szCs w:val="24"/>
          <w:lang w:eastAsia="ar-SA"/>
        </w:rPr>
        <w:t xml:space="preserve">Настоящая Методика </w:t>
      </w:r>
      <w:proofErr w:type="spellStart"/>
      <w:r w:rsidRPr="001846A1">
        <w:rPr>
          <w:rFonts w:ascii="Times New Roman" w:eastAsia="Times New Roman" w:hAnsi="Times New Roman"/>
          <w:color w:val="000000"/>
          <w:spacing w:val="-7"/>
          <w:kern w:val="1"/>
          <w:sz w:val="24"/>
          <w:szCs w:val="24"/>
          <w:lang w:eastAsia="ar-SA"/>
        </w:rPr>
        <w:t>балльно</w:t>
      </w:r>
      <w:proofErr w:type="spellEnd"/>
      <w:r w:rsidRPr="001846A1">
        <w:rPr>
          <w:rFonts w:ascii="Times New Roman" w:eastAsia="Times New Roman" w:hAnsi="Times New Roman"/>
          <w:color w:val="000000"/>
          <w:spacing w:val="-7"/>
          <w:kern w:val="1"/>
          <w:sz w:val="24"/>
          <w:szCs w:val="24"/>
          <w:lang w:eastAsia="ar-SA"/>
        </w:rPr>
        <w:t xml:space="preserve">-рейтинговой системы оценки учебных достижений </w:t>
      </w:r>
      <w:r w:rsidRPr="001846A1">
        <w:rPr>
          <w:rFonts w:ascii="Times New Roman" w:eastAsia="Times New Roman" w:hAnsi="Times New Roman"/>
          <w:color w:val="000000"/>
          <w:spacing w:val="-9"/>
          <w:kern w:val="1"/>
          <w:sz w:val="24"/>
          <w:szCs w:val="24"/>
          <w:lang w:eastAsia="ar-SA"/>
        </w:rPr>
        <w:t xml:space="preserve">студентов по учебной дисциплине </w:t>
      </w:r>
      <w:r w:rsidRPr="001846A1">
        <w:rPr>
          <w:rFonts w:ascii="Times New Roman" w:eastAsia="Times New Roman" w:hAnsi="Times New Roman"/>
          <w:b/>
          <w:bCs/>
          <w:color w:val="000000"/>
          <w:spacing w:val="-9"/>
          <w:kern w:val="1"/>
          <w:sz w:val="24"/>
          <w:szCs w:val="24"/>
          <w:lang w:eastAsia="ar-SA"/>
        </w:rPr>
        <w:t xml:space="preserve">«Медицинская реабилитация» </w:t>
      </w:r>
      <w:r w:rsidRPr="001846A1">
        <w:rPr>
          <w:rFonts w:ascii="Times New Roman" w:eastAsia="Times New Roman" w:hAnsi="Times New Roman"/>
          <w:color w:val="000000"/>
          <w:spacing w:val="-9"/>
          <w:kern w:val="1"/>
          <w:sz w:val="24"/>
          <w:szCs w:val="24"/>
          <w:lang w:eastAsia="ar-SA"/>
        </w:rPr>
        <w:t>разработана в соответствии с Поло</w:t>
      </w:r>
      <w:r w:rsidRPr="001846A1">
        <w:rPr>
          <w:rFonts w:ascii="Times New Roman" w:eastAsia="Times New Roman" w:hAnsi="Times New Roman"/>
          <w:color w:val="000000"/>
          <w:spacing w:val="-9"/>
          <w:kern w:val="1"/>
          <w:sz w:val="24"/>
          <w:szCs w:val="24"/>
          <w:lang w:eastAsia="ar-SA"/>
        </w:rPr>
        <w:softHyphen/>
      </w:r>
      <w:r w:rsidRPr="001846A1"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  <w:t xml:space="preserve">жением о </w:t>
      </w:r>
      <w:proofErr w:type="spellStart"/>
      <w:r w:rsidRPr="001846A1"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  <w:t>балльно</w:t>
      </w:r>
      <w:proofErr w:type="spellEnd"/>
      <w:r w:rsidRPr="001846A1"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  <w:t xml:space="preserve">-рейтинговой системе оценивания учебных достижений студентов Астраханского ГМУ, </w:t>
      </w:r>
      <w:r w:rsidRPr="001846A1">
        <w:rPr>
          <w:rFonts w:ascii="Times New Roman" w:eastAsia="Times New Roman" w:hAnsi="Times New Roman"/>
          <w:color w:val="000000"/>
          <w:spacing w:val="-11"/>
          <w:kern w:val="1"/>
          <w:sz w:val="24"/>
          <w:szCs w:val="24"/>
          <w:lang w:eastAsia="ar-SA"/>
        </w:rPr>
        <w:t xml:space="preserve">принятой на заседании Учёного совета. </w:t>
      </w: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spacing w:val="6"/>
          <w:kern w:val="1"/>
          <w:sz w:val="24"/>
          <w:szCs w:val="24"/>
          <w:lang w:eastAsia="ar-SA"/>
        </w:rPr>
        <w:t>1.2.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color w:val="000000"/>
          <w:spacing w:val="-8"/>
          <w:kern w:val="1"/>
          <w:sz w:val="24"/>
          <w:szCs w:val="24"/>
          <w:lang w:eastAsia="ar-SA"/>
        </w:rPr>
        <w:t xml:space="preserve">Изучение дисциплины проходит в течение одного семестра: </w:t>
      </w:r>
      <w:proofErr w:type="gramStart"/>
      <w:r w:rsidRPr="001846A1">
        <w:rPr>
          <w:rFonts w:ascii="Times New Roman" w:eastAsia="Times New Roman" w:hAnsi="Times New Roman"/>
          <w:kern w:val="1"/>
          <w:sz w:val="24"/>
          <w:szCs w:val="24"/>
          <w:lang w:val="en-US" w:eastAsia="ar-SA"/>
        </w:rPr>
        <w:t>VII</w:t>
      </w:r>
      <w:r w:rsidRPr="001846A1">
        <w:rPr>
          <w:rFonts w:ascii="Times New Roman" w:eastAsia="Times New Roman" w:hAnsi="Times New Roman"/>
          <w:color w:val="000000"/>
          <w:spacing w:val="-8"/>
          <w:kern w:val="1"/>
          <w:sz w:val="24"/>
          <w:szCs w:val="24"/>
          <w:lang w:eastAsia="ar-SA"/>
        </w:rPr>
        <w:t xml:space="preserve"> (осен</w:t>
      </w:r>
      <w:r w:rsidRPr="001846A1">
        <w:rPr>
          <w:rFonts w:ascii="Times New Roman" w:eastAsia="Times New Roman" w:hAnsi="Times New Roman"/>
          <w:color w:val="000000"/>
          <w:spacing w:val="-8"/>
          <w:kern w:val="1"/>
          <w:sz w:val="24"/>
          <w:szCs w:val="24"/>
          <w:lang w:eastAsia="ar-SA"/>
        </w:rPr>
        <w:softHyphen/>
      </w:r>
      <w:r w:rsidRPr="001846A1">
        <w:rPr>
          <w:rFonts w:ascii="Times New Roman" w:eastAsia="Times New Roman" w:hAnsi="Times New Roman"/>
          <w:color w:val="000000"/>
          <w:spacing w:val="16"/>
          <w:kern w:val="1"/>
          <w:sz w:val="24"/>
          <w:szCs w:val="24"/>
          <w:lang w:eastAsia="ar-SA"/>
        </w:rPr>
        <w:t>ний)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  <w:t>на 4 курсе.</w:t>
      </w:r>
      <w:proofErr w:type="gramEnd"/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spacing w:val="-5"/>
          <w:kern w:val="1"/>
          <w:sz w:val="24"/>
          <w:szCs w:val="24"/>
          <w:lang w:eastAsia="ar-SA"/>
        </w:rPr>
        <w:t xml:space="preserve">Дисциплинарные модули и дидактические единицы по учебной дисциплине </w:t>
      </w:r>
    </w:p>
    <w:p w:rsidR="001846A1" w:rsidRPr="001846A1" w:rsidRDefault="001846A1" w:rsidP="001846A1">
      <w:pPr>
        <w:shd w:val="clear" w:color="auto" w:fill="FFFFFF"/>
        <w:ind w:firstLine="0"/>
        <w:jc w:val="center"/>
        <w:rPr>
          <w:rFonts w:ascii="Times New Roman" w:eastAsia="Times New Roman" w:hAnsi="Times New Roman"/>
          <w:bCs/>
          <w:color w:val="000000"/>
          <w:spacing w:val="-9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/>
          <w:bCs/>
          <w:color w:val="000000"/>
          <w:spacing w:val="-9"/>
          <w:kern w:val="1"/>
          <w:sz w:val="24"/>
          <w:szCs w:val="24"/>
          <w:lang w:eastAsia="ar-SA"/>
        </w:rPr>
        <w:t xml:space="preserve">«Медицинская реабилитация» </w:t>
      </w:r>
      <w:r w:rsidRPr="001846A1">
        <w:rPr>
          <w:rFonts w:ascii="Times New Roman" w:eastAsia="Times New Roman" w:hAnsi="Times New Roman"/>
          <w:bCs/>
          <w:color w:val="000000"/>
          <w:spacing w:val="-9"/>
          <w:kern w:val="1"/>
          <w:sz w:val="24"/>
          <w:szCs w:val="24"/>
          <w:lang w:eastAsia="ar-SA"/>
        </w:rPr>
        <w:t>(аудиторные часы)</w:t>
      </w:r>
    </w:p>
    <w:p w:rsidR="001846A1" w:rsidRPr="001846A1" w:rsidRDefault="001846A1" w:rsidP="001846A1">
      <w:pPr>
        <w:shd w:val="clear" w:color="auto" w:fill="FFFFFF"/>
        <w:ind w:firstLine="0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shd w:val="clear" w:color="auto" w:fill="FFFFFF"/>
        <w:ind w:firstLine="0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pacing w:val="-9"/>
          <w:kern w:val="1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08"/>
        <w:gridCol w:w="1100"/>
        <w:gridCol w:w="4588"/>
        <w:gridCol w:w="812"/>
        <w:gridCol w:w="47"/>
        <w:gridCol w:w="711"/>
        <w:gridCol w:w="1492"/>
      </w:tblGrid>
      <w:tr w:rsidR="001846A1" w:rsidRPr="001846A1" w:rsidTr="00E847B1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№ дисциплинарного модуля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№ дидактической единицы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 xml:space="preserve">Наименование дисциплинарного модуля </w:t>
            </w:r>
          </w:p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 xml:space="preserve">(ДЕ, темы)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 xml:space="preserve">Всего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В том числе</w:t>
            </w:r>
          </w:p>
        </w:tc>
      </w:tr>
      <w:tr w:rsidR="001846A1" w:rsidRPr="001846A1" w:rsidTr="00E847B1">
        <w:trPr>
          <w:cantSplit/>
          <w:trHeight w:val="47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left="-113" w:right="-113"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Лекции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Практические занятия</w:t>
            </w:r>
          </w:p>
        </w:tc>
      </w:tr>
      <w:tr w:rsidR="001846A1" w:rsidRPr="001846A1" w:rsidTr="00E847B1">
        <w:trPr>
          <w:trHeight w:val="2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875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tabs>
                <w:tab w:val="right" w:leader="underscore" w:pos="9240"/>
              </w:tabs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4"/>
                <w:lang w:eastAsia="ar-SA"/>
              </w:rPr>
              <w:t>Основы медицинской реабилитации</w:t>
            </w:r>
          </w:p>
          <w:p w:rsidR="001846A1" w:rsidRPr="001846A1" w:rsidRDefault="001846A1" w:rsidP="001846A1">
            <w:pPr>
              <w:widowControl w:val="0"/>
              <w:tabs>
                <w:tab w:val="right" w:leader="underscore" w:pos="9240"/>
              </w:tabs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val="31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Понятие о реабилитации. Определение медицинской реабилитации. Виды реабилитации. Медицинская реабилитация в современной системе здравоохранения системе. Цели и основные принципы медицинской реабилитации. Этапы медицинской реабилитации. Показания и противопоказания к назначению реабилитационных мероприятий. Отбор на реабилитацию. Методы и средства медицинской реабилитации.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tabs>
                <w:tab w:val="right" w:leader="underscore" w:pos="9639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tabs>
                <w:tab w:val="right" w:leader="underscore" w:pos="9639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0,5</w:t>
            </w:r>
          </w:p>
        </w:tc>
      </w:tr>
      <w:tr w:rsidR="001846A1" w:rsidRPr="001846A1" w:rsidTr="00E847B1">
        <w:trPr>
          <w:trHeight w:val="315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tabs>
                <w:tab w:val="right" w:leader="underscore" w:pos="9639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Спортивная медицина</w:t>
            </w:r>
          </w:p>
        </w:tc>
      </w:tr>
      <w:tr w:rsidR="001846A1" w:rsidRPr="001846A1" w:rsidTr="00E847B1">
        <w:trPr>
          <w:trHeight w:val="315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Организационные аспекты спортивной медицины. Врачебный контроль как раздел спортивной медицины. Медицинские осмотры лиц, занимающихся физкультурой и спортом. Исследование и оценка физического развития.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315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Оценка функциональных возможностей организма физкультурника и спортсмена. Врачебное заключение. Определение медицинской группы.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315"/>
        </w:trPr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Заболевания и повреждения при нерациональных занятиях физкультурой и спортом.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137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  <w:t>3.</w:t>
            </w:r>
          </w:p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875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tabs>
                <w:tab w:val="right" w:leader="underscore" w:pos="9240"/>
              </w:tabs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  <w:t>Организационные основы физиотерапии и лечебной физкультуры в структуре медицинской реабилитации</w:t>
            </w:r>
          </w:p>
          <w:p w:rsidR="001846A1" w:rsidRPr="001846A1" w:rsidRDefault="001846A1" w:rsidP="001846A1">
            <w:pPr>
              <w:widowControl w:val="0"/>
              <w:tabs>
                <w:tab w:val="right" w:leader="underscore" w:pos="9240"/>
              </w:tabs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Организация физиотерапевтической помощи в Российской федерации. Формы первичной медицинской документации физиотерапевтического отделения.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1,25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0,25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Предмет и задачи физиотерапии. Классификация физических факторов. Основные принципы физиотерапии. Общие противопоказания для физиотерапии.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Физиопрофилактика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 Техника безопасности при проведении физиотерапевтических процедур.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1,25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0,25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ДЕ3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Гальванизация. Лекарственный электрофорез.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4</w:t>
            </w:r>
            <w:proofErr w:type="gramEnd"/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Электросонтерапия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Электростимуляция.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Диадинамотерапия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Короткоимпульсная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электроанальгезия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Транскраниальная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электроанальгезия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ДЕ5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Амплипульстерапия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Интерференцтерапия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Флюктуоризация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Ультратонтерапия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Дарсонвализация.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6</w:t>
            </w:r>
            <w:proofErr w:type="gramEnd"/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Постоянная, импульсная и низкочастотная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магнитотерапия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. Индуктотермия. УВЧ-терапия. СВЧ-терапия (ДМВ-терапия, СМВ-терапия).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Миллиметроволновая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терапия (КВЧ-терапия)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7</w:t>
            </w:r>
            <w:proofErr w:type="gramEnd"/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Применение с лечебной целью инфракрасного, ультрафиолетового и видимого спектров электромагнитного излучения. Лазеротерапия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ДЕ8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Ультразвуковая терапия. Вибротерапия. Лечебный массаж: классификация, механизм действия, основные приемы массажа.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1,5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1,5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9</w:t>
            </w:r>
            <w:proofErr w:type="gramEnd"/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Аэроионотерапия,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аэрозольтерапия</w:t>
            </w:r>
            <w:proofErr w:type="spellEnd"/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0,5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0,5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ДЕ10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Санаторно-курортное лечение – как фактор реабилитации. Характеристика курортов, цели курортного лечения. Бальнеотерапия.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Пелоидотерапия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, показания и противопоказания к ее назначению.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ДЕ11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 xml:space="preserve">Место и роль лечебной физкультуры в системе медицинской реабилитации. Классификация средств лечебной физкультуры. Основные принципы подбора и дозировки физической нагрузки. Противопоказания к назначению лечебной физкультуры. 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9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ДЕ12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 xml:space="preserve">Порядок назначения лечебной гимнастики и оформление документации. 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256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kern w:val="1"/>
                <w:sz w:val="20"/>
                <w:szCs w:val="24"/>
                <w:lang w:eastAsia="ar-SA"/>
              </w:rPr>
              <w:t>4.</w:t>
            </w:r>
          </w:p>
        </w:tc>
        <w:tc>
          <w:tcPr>
            <w:tcW w:w="875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4"/>
                <w:lang w:eastAsia="ar-SA"/>
              </w:rPr>
              <w:t xml:space="preserve">Медицинская реабилитация наиболее распространённых  стоматологических заболеваний </w:t>
            </w:r>
          </w:p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proofErr w:type="spell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некариозных</w:t>
            </w:r>
            <w:proofErr w:type="spellEnd"/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 поражениях твердых тканей зубов,  кариозной болезни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1,5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воспалительных процессах  челюстно-лицевой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Медицинская реабилитация при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3"/>
                <w:kern w:val="1"/>
                <w:sz w:val="20"/>
                <w:szCs w:val="20"/>
                <w:lang w:eastAsia="ar-SA"/>
              </w:rPr>
              <w:t xml:space="preserve"> травматических повреждениях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челюстно-лицевой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3,5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4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  <w:t>пульпите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1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  <w:t>заболеваниях пародонта, периодонтитах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235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6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  <w:t xml:space="preserve">заболеваниях слизистой оболочки полости рта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1846A1" w:rsidRPr="001846A1" w:rsidTr="00E847B1">
        <w:trPr>
          <w:trHeight w:val="235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</w:t>
            </w:r>
            <w:proofErr w:type="gramStart"/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7</w:t>
            </w:r>
            <w:proofErr w:type="gramEnd"/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  <w:t>заболеваниях нервов лица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1846A1" w:rsidRPr="001846A1" w:rsidTr="00E847B1">
        <w:trPr>
          <w:trHeight w:val="235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  <w:t>ДЕ8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8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Медицинская реабилитация при </w:t>
            </w:r>
            <w:r w:rsidRPr="001846A1">
              <w:rPr>
                <w:rFonts w:ascii="Times New Roman" w:eastAsia="Times New Roman" w:hAnsi="Times New Roman"/>
                <w:bCs/>
                <w:color w:val="000000"/>
                <w:spacing w:val="2"/>
                <w:kern w:val="1"/>
                <w:sz w:val="20"/>
                <w:szCs w:val="20"/>
                <w:lang w:eastAsia="ar-SA"/>
              </w:rPr>
              <w:t>заболеваниях височно-нижнечелюстного сустава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8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1846A1" w:rsidRPr="001846A1" w:rsidRDefault="001846A1" w:rsidP="001846A1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spacing w:before="60" w:after="60"/>
              <w:ind w:firstLine="0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</w:tbl>
    <w:p w:rsidR="001846A1" w:rsidRPr="001846A1" w:rsidRDefault="001846A1" w:rsidP="001846A1">
      <w:pPr>
        <w:ind w:firstLine="0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Модульно-рейтинговая система подготовки студентов -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система организации про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цесса освоения основной образовательной программы по направлению (специальности) высше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 xml:space="preserve">го профессионального образования, основанная на </w:t>
      </w:r>
      <w:proofErr w:type="spellStart"/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блочно</w:t>
      </w:r>
      <w:proofErr w:type="spellEnd"/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-модульном построении учебного процесса. При этом осуществляется структурирование содержания каждой учебной дисципли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 xml:space="preserve">ны на дисциплинарные модули и проводится регулярная оценка знаний и умений студентов с помощью контроля результатов </w:t>
      </w:r>
      <w:proofErr w:type="gramStart"/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обучения</w:t>
      </w:r>
      <w:proofErr w:type="gramEnd"/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по каждому дисциплинарному моду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лю и дисциплине в целом.</w:t>
      </w:r>
    </w:p>
    <w:p w:rsidR="001846A1" w:rsidRPr="001846A1" w:rsidRDefault="001846A1" w:rsidP="001846A1">
      <w:pPr>
        <w:shd w:val="clear" w:color="auto" w:fill="FFFFFF"/>
        <w:ind w:firstLine="567"/>
        <w:jc w:val="lef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После внедрения модульно-рейтинговой системы ожидается:</w:t>
      </w: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• повышение качества обучения за счет интенсификации учебного процесса, активизации работы профессорско-преподавательского состава и студентов по обновлению и совершенство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ванию содержания и методов обучения;</w:t>
      </w: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• осуществление ежедневного контроля и рейтинговой оценки качества обучения сту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дентов при освоении ими основной образовательной программы по направлению (специально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сти).</w:t>
      </w:r>
    </w:p>
    <w:p w:rsidR="001846A1" w:rsidRPr="001846A1" w:rsidRDefault="001846A1" w:rsidP="001846A1">
      <w:pPr>
        <w:shd w:val="clear" w:color="auto" w:fill="FFFFFF"/>
        <w:spacing w:before="10" w:line="274" w:lineRule="exact"/>
        <w:ind w:left="898" w:firstLine="0"/>
        <w:jc w:val="left"/>
        <w:rPr>
          <w:rFonts w:ascii="Times New Roman" w:eastAsia="Times New Roman" w:hAnsi="Times New Roman"/>
          <w:bCs/>
          <w:color w:val="000000"/>
          <w:kern w:val="1"/>
          <w:sz w:val="24"/>
          <w:szCs w:val="23"/>
          <w:lang w:eastAsia="ar-SA"/>
        </w:rPr>
      </w:pPr>
    </w:p>
    <w:p w:rsidR="001846A1" w:rsidRPr="001846A1" w:rsidRDefault="001846A1" w:rsidP="001846A1">
      <w:pPr>
        <w:widowControl w:val="0"/>
        <w:shd w:val="clear" w:color="auto" w:fill="FFFFFF"/>
        <w:ind w:firstLine="567"/>
        <w:jc w:val="left"/>
        <w:rPr>
          <w:rFonts w:ascii="Times New Roman" w:eastAsia="Times New Roman" w:hAnsi="Times New Roman"/>
          <w:bCs/>
          <w:color w:val="000000"/>
          <w:kern w:val="1"/>
          <w:sz w:val="24"/>
          <w:szCs w:val="23"/>
          <w:u w:val="single"/>
          <w:lang w:eastAsia="ar-SA"/>
        </w:rPr>
      </w:pPr>
      <w:r w:rsidRPr="001846A1">
        <w:rPr>
          <w:rFonts w:ascii="Times New Roman" w:eastAsia="Times New Roman" w:hAnsi="Times New Roman"/>
          <w:bCs/>
          <w:color w:val="000000"/>
          <w:kern w:val="1"/>
          <w:sz w:val="24"/>
          <w:szCs w:val="23"/>
          <w:u w:val="single"/>
          <w:lang w:eastAsia="ar-SA"/>
        </w:rPr>
        <w:t>Основные понятия: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ar-SA"/>
        </w:rPr>
        <w:t>Календарный модуль</w:t>
      </w:r>
      <w:r w:rsidRPr="001846A1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- структурированная часть учебного года, в течение которой од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новременно изучается блок дисциплин, определенных рабочим учебным планом.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ar-SA"/>
        </w:rPr>
        <w:t>Блок дисциплин</w:t>
      </w:r>
      <w:r w:rsidRPr="001846A1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-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это набор дисциплин, одновременно изучаемых в течение одного ка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лендарного модуля, объединенных в соответствии со структурно-логической схемой образова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тельной программы по направлению (специальности) для обеспечения концентрации усилий студентов на освоение в определенный период времени данного блока дисциплин.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ar-SA"/>
        </w:rPr>
        <w:t>Дисциплинарный модуль</w:t>
      </w:r>
      <w:r w:rsidRPr="001846A1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-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часть учебной дисциплины, по окончании изучения которой осуществляется промежуточный контроль знаний студентов. Количество дисциплинарных мо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дулей определяется в зависимости от содержания и трудоемкости дисциплины.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ar-SA"/>
        </w:rPr>
        <w:t>Рейтинговая оценка по дисциплине в календарном модуле</w:t>
      </w:r>
      <w:r w:rsidRPr="001846A1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— это оценка знаний сту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дентов, которая складывается из количества баллов, набранных за текущую работу и получен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ных при промежуточных контролях по совокупности дисциплинарных модулей.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ar-SA"/>
        </w:rPr>
        <w:t>Итоговая рейтинговая оценка по дисциплине</w:t>
      </w:r>
      <w:r w:rsidRPr="001846A1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846A1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— 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это интегрированная оценка знаний студентов по дисциплине за все календарные модули, в течение которых она изучалась.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Всего 4 дисциплинарных модуля, 24 дидактических единиц. Каждый дисциплинарный модуль оценивается в зависимости от количества в нём дидактических единиц.</w:t>
      </w:r>
    </w:p>
    <w:p w:rsidR="001846A1" w:rsidRPr="001846A1" w:rsidRDefault="001846A1" w:rsidP="001846A1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ar-SA"/>
        </w:rPr>
        <w:t>Текущий контроль знаний и практических навыков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оценивается по системе 0-2 балла.</w:t>
      </w:r>
    </w:p>
    <w:p w:rsidR="001846A1" w:rsidRPr="001846A1" w:rsidRDefault="001846A1" w:rsidP="001846A1">
      <w:pPr>
        <w:shd w:val="clear" w:color="auto" w:fill="FFFFFF"/>
        <w:ind w:firstLine="567"/>
        <w:jc w:val="lef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При этом оценка:</w:t>
      </w:r>
    </w:p>
    <w:p w:rsidR="001846A1" w:rsidRPr="001846A1" w:rsidRDefault="001846A1" w:rsidP="001846A1">
      <w:pPr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• «0 баллов» — студент отсутствовал на занятии, либо присутствовал, но не показал зна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ний и умений, не проявлял никакой инициативы, соответствует оценке «неудовлетворительно»:</w:t>
      </w:r>
    </w:p>
    <w:p w:rsidR="001846A1" w:rsidRPr="001846A1" w:rsidRDefault="001846A1" w:rsidP="001846A1">
      <w:pPr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• «0,5 баллов» — студент присутствовал на занятии, был малоинициативным и показал очень слабые знания и умения, соответствует оценке «очень слабо»;</w:t>
      </w:r>
    </w:p>
    <w:p w:rsidR="001846A1" w:rsidRPr="001846A1" w:rsidRDefault="001846A1" w:rsidP="001846A1">
      <w:pPr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• «1 балл» — студент проявлял инициативу, показал неплохие знания и умения, соответ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softHyphen/>
        <w:t>ствует оценке «удовлетворительно»;</w:t>
      </w:r>
    </w:p>
    <w:p w:rsidR="001846A1" w:rsidRPr="001846A1" w:rsidRDefault="001846A1" w:rsidP="001846A1">
      <w:pPr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t>• «1,5 балла» — студент проявлял инициативу, показал хорошие знания и умения, соот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softHyphen/>
        <w:t>ветствует оценке «хорошо»;</w:t>
      </w:r>
    </w:p>
    <w:p w:rsidR="001846A1" w:rsidRPr="001846A1" w:rsidRDefault="001846A1" w:rsidP="001846A1">
      <w:pPr>
        <w:widowControl w:val="0"/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t>• «2 балла» — студент проявлял большую инициативу в ходе занятия, показал очень хо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softHyphen/>
        <w:t>рошие знания и умения, соответствует оценке «отлично».</w:t>
      </w:r>
    </w:p>
    <w:p w:rsidR="001846A1" w:rsidRPr="001846A1" w:rsidRDefault="001846A1" w:rsidP="001846A1">
      <w:pPr>
        <w:widowControl w:val="0"/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t>Примечание: максимальное значение для дисциплинарного модуля представлено в таблице №1.</w:t>
      </w:r>
    </w:p>
    <w:p w:rsidR="001846A1" w:rsidRPr="001846A1" w:rsidRDefault="001846A1" w:rsidP="001846A1">
      <w:pPr>
        <w:widowControl w:val="0"/>
        <w:shd w:val="clear" w:color="auto" w:fill="FFFFFF"/>
        <w:ind w:left="567" w:firstLine="0"/>
        <w:jc w:val="left"/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t xml:space="preserve">                                                    </w:t>
      </w:r>
    </w:p>
    <w:p w:rsidR="001846A1" w:rsidRPr="001846A1" w:rsidRDefault="001846A1" w:rsidP="001846A1">
      <w:pPr>
        <w:widowControl w:val="0"/>
        <w:shd w:val="clear" w:color="auto" w:fill="FFFFFF"/>
        <w:ind w:left="567" w:firstLine="0"/>
        <w:jc w:val="left"/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6"/>
          <w:lang w:eastAsia="ar-SA"/>
        </w:rPr>
        <w:t xml:space="preserve"> Таблица №1</w:t>
      </w:r>
    </w:p>
    <w:p w:rsidR="001846A1" w:rsidRPr="001846A1" w:rsidRDefault="001846A1" w:rsidP="001846A1">
      <w:pPr>
        <w:widowControl w:val="0"/>
        <w:shd w:val="clear" w:color="auto" w:fill="FFFFFF"/>
        <w:ind w:left="567" w:firstLine="0"/>
        <w:rPr>
          <w:rFonts w:ascii="Times New Roman" w:eastAsia="Times New Roman" w:hAnsi="Times New Roman"/>
          <w:color w:val="000000"/>
          <w:kern w:val="1"/>
          <w:sz w:val="24"/>
          <w:szCs w:val="26"/>
          <w:shd w:val="clear" w:color="auto" w:fill="FF0000"/>
          <w:lang w:eastAsia="ar-SA"/>
        </w:rPr>
      </w:pPr>
    </w:p>
    <w:tbl>
      <w:tblPr>
        <w:tblW w:w="0" w:type="auto"/>
        <w:tblInd w:w="683" w:type="dxa"/>
        <w:tblLayout w:type="fixed"/>
        <w:tblLook w:val="0000" w:firstRow="0" w:lastRow="0" w:firstColumn="0" w:lastColumn="0" w:noHBand="0" w:noVBand="0"/>
      </w:tblPr>
      <w:tblGrid>
        <w:gridCol w:w="2300"/>
        <w:gridCol w:w="2150"/>
      </w:tblGrid>
      <w:tr w:rsidR="001846A1" w:rsidRPr="001846A1" w:rsidTr="00E847B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left="-108" w:firstLine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№ дисциплинарного модуля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баллы</w:t>
            </w:r>
          </w:p>
        </w:tc>
      </w:tr>
      <w:tr w:rsidR="001846A1" w:rsidRPr="001846A1" w:rsidTr="00E847B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1846A1" w:rsidRPr="001846A1" w:rsidTr="00E847B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1846A1" w:rsidRPr="001846A1" w:rsidTr="00E847B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</w:tr>
      <w:tr w:rsidR="001846A1" w:rsidRPr="001846A1" w:rsidTr="00E847B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widowControl w:val="0"/>
              <w:snapToGri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</w:tr>
    </w:tbl>
    <w:p w:rsidR="001846A1" w:rsidRPr="001846A1" w:rsidRDefault="001846A1" w:rsidP="001846A1">
      <w:pPr>
        <w:widowControl w:val="0"/>
        <w:shd w:val="clear" w:color="auto" w:fill="FFFFFF"/>
        <w:ind w:left="567" w:firstLine="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Таким образом, максимальная оценка знаний с помощью данного инструмента контроля составляет 48 баллов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, в том числе 1/3 (16 баллов)  приходится на практическую подготовку.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shd w:val="clear" w:color="auto" w:fill="FF3366"/>
          <w:lang w:eastAsia="ar-SA"/>
        </w:rPr>
      </w:pP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ar-SA"/>
        </w:rPr>
        <w:lastRenderedPageBreak/>
        <w:t>Рубежный контроль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модуль 1 – собеседование по контрольным вопросам (5 баллов), № - 2 – оформление практической работы форма 061у (5 баллов); № - 3. осуществляется в форме тестирования (20 баллов). № - 4. осуществляется в форме написания реферата (8 баллов максимально).</w:t>
      </w: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shd w:val="clear" w:color="auto" w:fill="FF0000"/>
          <w:lang w:eastAsia="ar-SA"/>
        </w:rPr>
      </w:pPr>
    </w:p>
    <w:p w:rsidR="001846A1" w:rsidRPr="001846A1" w:rsidRDefault="001846A1" w:rsidP="001846A1">
      <w:pPr>
        <w:widowControl w:val="0"/>
        <w:shd w:val="clear" w:color="auto" w:fill="FFFFFF"/>
        <w:ind w:firstLine="567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ar-SA"/>
        </w:rPr>
        <w:t>Зачёт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 - 10 баллов максимально и включает в себя собеседование по темам изучаемой дисциплины</w:t>
      </w:r>
    </w:p>
    <w:p w:rsidR="001846A1" w:rsidRPr="001846A1" w:rsidRDefault="001846A1" w:rsidP="001846A1">
      <w:pPr>
        <w:shd w:val="clear" w:color="auto" w:fill="FFFFFF"/>
        <w:spacing w:after="280"/>
        <w:ind w:firstLine="567"/>
        <w:jc w:val="left"/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  <w:t xml:space="preserve">Таким образом, максимальная итоговая рейтинговая оценка по дисциплине составит 100 баллов. Соответствие с традиционной шкалой оценок представлено в таблице №2. </w:t>
      </w:r>
    </w:p>
    <w:p w:rsidR="001846A1" w:rsidRPr="001846A1" w:rsidRDefault="001846A1" w:rsidP="001846A1">
      <w:pPr>
        <w:shd w:val="clear" w:color="auto" w:fill="FFFFFF"/>
        <w:spacing w:after="280"/>
        <w:ind w:firstLine="567"/>
        <w:jc w:val="left"/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  <w:t>Таблица №2</w:t>
      </w:r>
    </w:p>
    <w:tbl>
      <w:tblPr>
        <w:tblW w:w="0" w:type="auto"/>
        <w:tblInd w:w="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2955"/>
      </w:tblGrid>
      <w:tr w:rsidR="001846A1" w:rsidRPr="001846A1" w:rsidTr="00E847B1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100-балльная шкала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Традиционная шкала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80-100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Отлично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65-79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Хорошо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50-64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Удовлетворительно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846A1" w:rsidRPr="001846A1" w:rsidTr="00E847B1">
        <w:trPr>
          <w:trHeight w:hRule="exact" w:val="31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Менее 50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A1" w:rsidRPr="001846A1" w:rsidRDefault="001846A1" w:rsidP="001846A1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</w:pPr>
            <w:r w:rsidRPr="001846A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5"/>
                <w:lang w:eastAsia="ar-SA"/>
              </w:rPr>
              <w:t>Неудовлетворительно</w:t>
            </w:r>
          </w:p>
          <w:p w:rsidR="001846A1" w:rsidRPr="001846A1" w:rsidRDefault="001846A1" w:rsidP="001846A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846A1" w:rsidRPr="001846A1" w:rsidRDefault="001846A1" w:rsidP="001846A1">
      <w:pPr>
        <w:shd w:val="clear" w:color="auto" w:fill="FFFFFF"/>
        <w:spacing w:line="274" w:lineRule="exact"/>
        <w:ind w:left="48" w:firstLine="754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1846A1" w:rsidRPr="001846A1" w:rsidRDefault="001846A1" w:rsidP="001846A1">
      <w:pPr>
        <w:shd w:val="clear" w:color="auto" w:fill="FFFFFF"/>
        <w:spacing w:line="274" w:lineRule="exact"/>
        <w:ind w:left="48" w:firstLine="754"/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</w:pPr>
      <w:r w:rsidRPr="001846A1"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  <w:t>Пропуск занятия оценивается — «0» баллов, при этом, единичные пропуски по уважительной при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  <w:softHyphen/>
        <w:t>чине (участие в олимпиадах, спортивных мероприятиях, научно-практических конференциях и т.п.) не отрабатываются. Пропуск занятия без уважительной причины отрабатывается обязательно, однако макси</w:t>
      </w:r>
      <w:r w:rsidRPr="001846A1">
        <w:rPr>
          <w:rFonts w:ascii="Times New Roman" w:eastAsia="Times New Roman" w:hAnsi="Times New Roman"/>
          <w:color w:val="000000"/>
          <w:kern w:val="1"/>
          <w:sz w:val="24"/>
          <w:szCs w:val="25"/>
          <w:lang w:eastAsia="ar-SA"/>
        </w:rPr>
        <w:softHyphen/>
        <w:t>мальный балл не будет превышать «1».</w:t>
      </w:r>
    </w:p>
    <w:p w:rsidR="00A12E4F" w:rsidRDefault="00A12E4F" w:rsidP="001846A1">
      <w:pPr>
        <w:ind w:firstLine="0"/>
      </w:pPr>
      <w:bookmarkStart w:id="0" w:name="_GoBack"/>
      <w:bookmarkEnd w:id="0"/>
    </w:p>
    <w:sectPr w:rsidR="00A1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A1"/>
    <w:rsid w:val="001846A1"/>
    <w:rsid w:val="00A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A1"/>
    <w:pPr>
      <w:spacing w:after="0" w:line="240" w:lineRule="auto"/>
      <w:ind w:firstLine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A1"/>
    <w:pPr>
      <w:spacing w:after="0" w:line="240" w:lineRule="auto"/>
      <w:ind w:firstLine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инекс</dc:creator>
  <cp:lastModifiedBy>инекс</cp:lastModifiedBy>
  <cp:revision>1</cp:revision>
  <dcterms:created xsi:type="dcterms:W3CDTF">2020-03-15T18:55:00Z</dcterms:created>
  <dcterms:modified xsi:type="dcterms:W3CDTF">2020-03-15T19:05:00Z</dcterms:modified>
</cp:coreProperties>
</file>