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99"/>
        <w:gridCol w:w="623"/>
        <w:gridCol w:w="8336"/>
        <w:gridCol w:w="79"/>
      </w:tblGrid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вид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код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  <w:szCs w:val="28"/>
              </w:rPr>
              <w:t>Текст названия трудовой функции/ вопросов задания/ вариантов ответа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bookmarkStart w:id="0" w:name="_heading_h.gjdgxs"/>
            <w:bookmarkEnd w:id="0"/>
            <w:r>
              <w:rPr>
                <w:rFonts w:ascii="Calibri" w:hAnsi="Calibri"/>
                <w:b/>
                <w:sz w:val="28"/>
              </w:rPr>
              <w:t>Diseases of the Peripheral nervous system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001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Main causes of polyneuropathy is: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chronic alcoholism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diabetes mellitus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20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4"/>
                <w:u w:val="none"/>
                <w:effect w:val="none"/>
              </w:rPr>
              <w:t>malignant tumors of the internal organs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high blood pressure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002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acute demyelinating polyradiculoneuritis (</w:t>
            </w:r>
            <w:r>
              <w:rPr>
                <w:rFonts w:ascii="Times-Roman" w:hAnsi="Times-Roman"/>
                <w:b/>
                <w:color w:val="auto"/>
                <w:sz w:val="28"/>
              </w:rPr>
              <w:t>guillain barré</w:t>
            </w:r>
            <w:r>
              <w:rPr>
                <w:rFonts w:ascii="Calibri" w:hAnsi="Calibri"/>
                <w:b/>
                <w:sz w:val="28"/>
              </w:rPr>
              <w:t xml:space="preserve"> syndrome) characterized by: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distal paresis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proteins in the CSF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sensitivity disorders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oculomotor disorders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003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in </w:t>
            </w:r>
            <w:r>
              <w:rPr>
                <w:rFonts w:ascii="Times-Roman" w:hAnsi="Times-Roman"/>
                <w:b/>
                <w:color w:val="auto"/>
                <w:sz w:val="28"/>
              </w:rPr>
              <w:t>guillain barré</w:t>
            </w:r>
            <w:r>
              <w:rPr>
                <w:rFonts w:ascii="Calibri" w:hAnsi="Calibri"/>
                <w:b/>
                <w:sz w:val="28"/>
              </w:rPr>
              <w:t xml:space="preserve"> syndrome most often affected the following cranial nerves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Facial nerve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Visual Nerve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Nerf Abducens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Oculomotor nerve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004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Treatment of acute demyelinating polyradiculoneuritis ( </w:t>
            </w:r>
            <w:r>
              <w:rPr>
                <w:rFonts w:ascii="Times-Roman" w:hAnsi="Times-Roman"/>
                <w:b/>
                <w:color w:val="auto"/>
                <w:sz w:val="28"/>
              </w:rPr>
              <w:t>guillain barré</w:t>
            </w:r>
            <w:r>
              <w:rPr>
                <w:rFonts w:ascii="Calibri" w:hAnsi="Calibri"/>
                <w:b/>
                <w:sz w:val="28"/>
              </w:rPr>
              <w:t xml:space="preserve"> syndrome syndrome)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Plasmapheresis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class g immunoglobulin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heparin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prednisolone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005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Treatment of 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pacing w:val="0"/>
                <w:sz w:val="28"/>
              </w:rPr>
              <w:t>Chronic inflammatory demyelinating</w:t>
            </w:r>
            <w:r>
              <w:rPr>
                <w:rFonts w:ascii="Calibri" w:hAnsi="Calibri"/>
                <w:b/>
                <w:caps w:val="false"/>
                <w:smallCaps w:val="false"/>
                <w:color w:val="222222"/>
                <w:spacing w:val="0"/>
                <w:sz w:val="28"/>
              </w:rPr>
              <w:t>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pacing w:val="0"/>
                <w:sz w:val="28"/>
              </w:rPr>
              <w:t>polyneuropathy</w:t>
            </w:r>
            <w:r>
              <w:rPr>
                <w:rFonts w:ascii="Calibri" w:hAnsi="Calibri"/>
                <w:b/>
                <w:sz w:val="28"/>
              </w:rPr>
              <w:t xml:space="preserve"> 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Plasmapheresis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Corticosteroids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class g immunoglobulin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Antibiotics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006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pacing w:val="0"/>
                <w:sz w:val="28"/>
              </w:rPr>
              <w:t>Chronic inflammatory demyelinating</w:t>
            </w:r>
            <w:r>
              <w:rPr>
                <w:rFonts w:ascii="Calibri" w:hAnsi="Calibri"/>
                <w:b/>
                <w:caps w:val="false"/>
                <w:smallCaps w:val="false"/>
                <w:color w:val="222222"/>
                <w:spacing w:val="0"/>
                <w:sz w:val="28"/>
              </w:rPr>
              <w:t> </w:t>
            </w:r>
            <w:r>
              <w:rPr>
                <w:rFonts w:ascii="Calibri" w:hAnsi="Calibri"/>
                <w:b/>
                <w:i w:val="false"/>
                <w:caps w:val="false"/>
                <w:smallCaps w:val="false"/>
                <w:color w:val="222222"/>
                <w:spacing w:val="0"/>
                <w:sz w:val="28"/>
              </w:rPr>
              <w:t>polyneuropathy</w:t>
            </w:r>
            <w:r>
              <w:rPr>
                <w:rFonts w:ascii="Calibri" w:hAnsi="Calibri"/>
                <w:b/>
                <w:sz w:val="28"/>
              </w:rPr>
              <w:t xml:space="preserve"> characterized by: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Reduction or total loss of osteotendinous reflexes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increased symptoms for several months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Cerebellar ataxia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Lesion  for the oculomotor nerve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007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method of differential diagnosis of axonopathies and myelinopathies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electroneuromyography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immunological study of cerebrospinal fluid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immunological blood study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sz w:val="22"/>
              </w:rPr>
              <w:t>Radiological study: </w:t>
            </w:r>
            <w:r>
              <w:rPr>
                <w:rFonts w:ascii="Calibri" w:hAnsi="Calibri"/>
                <w:sz w:val="22"/>
              </w:rPr>
              <w:t>CT, MRI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008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lesions of the facial nerve characterized by: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Paresis of the facial muscles of half the face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Taste decreased in the anterior 2/3 of the tongue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dysphagia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strabismus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009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Treatment of neuropathy of the facial nerve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Prednisone in the acute phase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 vitamins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Piracetam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aspirin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010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Pathogenesis of diabetic polyneuropathy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metabolic disorders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autoimmune disorders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ischemia of the nervous trunks due to microangiopathy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complication of insulinotherapy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011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Diabetic polyneuropathy treatment is: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20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Alpha lipoic acid (ALA)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Piracetam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ascorbic acid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kalimin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012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sz w:val="22"/>
              </w:rPr>
              <w:t>lack of vitamin B1 is installed in the pathogenesis of which neuropathy :</w:t>
            </w: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Chronic alcoholism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hypothyroidism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diabetes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kidney failure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013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Drug polyneuropathy causes by: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anticoagulants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cytotoxic drugs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antihypertensives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anti-tuberculosis drugs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Manifestation of alcoholic polyneuropathy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 is :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014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Distal and peripheral paresis of the legs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Vegetative trophic disorders of the lower limbs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Leg pain and paraesthesia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Conductor type of sensitivity violation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Symptoms of a radial nerve injury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015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paresis of the extensors of the hand and  the little finger (not lord baelish)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loss of a triceps reflex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brush swelling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numbness in the little finger and on the medial surface of the hand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Carpal tunnel syndrome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016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administration of dexamethasone in the carpal tunnel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carpal tunnel decompression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aspirin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piracetam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Causalgia caused by suffering in: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017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median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ulnar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femoral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Radial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Symptoms of ulnar neuropathy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018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muscle paresis diverting the little finger (not lord baelish)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Numbness in the little finger and on the medial surface of the hand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atrophy of the interosseous muscles of the hand and the hypotenar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paresis of the extensor brushes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Among the neuropathies of the cranial nerves, neuropathy is more common in :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019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facial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glossopharyngeal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vagus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Abducens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Symptoms of the femoral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020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pain radiating to the front of the thigh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patellar reflex reduction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weakness of the femoral quadriceps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loss of sensation in the back of the thigh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Symptoms of tibial nerve neuropathy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021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weakness of the plantar flexion of the foot and toes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loss of Achilles reflex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hypesthesia of the plantar surface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loss of sensation in the back of the thigh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01" w:before="0" w:after="0"/>
              <w:ind w:left="0" w:right="0" w:hanging="0"/>
              <w:jc w:val="left"/>
              <w:rPr>
                <w:rFonts w:ascii="Calibri" w:hAnsi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6"/>
                <w:u w:val="none"/>
                <w:effect w:val="none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6"/>
                <w:u w:val="none"/>
                <w:effect w:val="none"/>
              </w:rPr>
              <w:t>Symptoms of the abduction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022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Convergent squint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Diplopia looking looking out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anisocaria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Diplopia looking down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The caractérestique of the bulbar paralysis :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 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023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DYSPHAGIA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Absence of pharyngeal reflex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Atrophy of the tongue muscles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Symptoms of oral automatism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Brachial plexus involvement is characterized by :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024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Peripheral paralysis of the upper limbs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Sensoriel plexus  Impairment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Pathological reflexes of the hands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Dissociated type of sensory disturbance of the arm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With distal polyneuropathy , ataxia is :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  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025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sensitive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cerebellar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Vestibular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functional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Myelinopathy is characterized by :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026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 decrease in the speed of excitation along the nerve according to the electroneuromyography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early loss of tendon reflexes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severe muscle atrophy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displayed fasciculations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rFonts w:ascii="Calibri" w:hAnsi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When taking anti-tuberculosis drugs, the cranial nerves most often affected are: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027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Vestibulocochlear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abducens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Glossopharyngeal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vagus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the technique of physiotherapy for the facial nerve in acute neuropathy is: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  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028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Ultra high frequency therapy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Phonophoresis with hydrocartisone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Electrophoresis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Facial massage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Combined cranial nerve 7 and 8 damage is possible in :</w:t>
            </w:r>
            <w:r>
              <w:rPr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029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ponto-cerebral angle arachnoiditis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Neurinoma of the ponto-cerebral angle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cavernous sinus damage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 xml:space="preserve">medulla oblongata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damage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u w:val="none"/>
                <w:effect w:val="none"/>
              </w:rPr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22"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sz w:val="28"/>
                <w:u w:val="none"/>
                <w:effect w:val="none"/>
              </w:rPr>
              <w:t>damage of the trigeminal nucleus is characterize by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030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Chronic facial pain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Dissociated type of sensory disturbances of the face</w:t>
            </w:r>
            <w:r>
              <w:rPr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 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Paroxysmal pain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169" w:before="0" w:after="0"/>
              <w:ind w:left="0" w:right="0" w:hanging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sz w:val="22"/>
                <w:u w:val="none"/>
                <w:effect w:val="none"/>
              </w:rPr>
              <w:t>Sensory damage to the branches of the trigeminal nerve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79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LibreOffice/6.3.2.2$MacOSX_X86_64 LibreOffice_project/98b30e735bda24bc04ab42594c85f7fd8be07b9c</Application>
  <Pages>5</Pages>
  <Words>852</Words>
  <Characters>4376</Characters>
  <CharactersWithSpaces>5080</CharactersWithSpaces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2020-05-15T04:58:37Z</dcterms:created>
  <dc:creator/>
  <dc:description/>
  <dc:language>fr-FR</dc:language>
  <cp:lastModifiedBy/>
  <dcterms:modified xsi:type="dcterms:W3CDTF">2020-05-19T12:36:30Z</dcterms:modified>
  <cp:revision>2</cp:revision>
  <dc:subject/>
  <dc:title/>
</cp:coreProperties>
</file>