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</w:rPr>
        <w:t>Neurologie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Thème " </w:t>
      </w:r>
      <w:bookmarkStart w:id="0" w:name="__DdeLink__51851_2447090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Sensibilité 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38"/>
        <w:gridCol w:w="619"/>
        <w:gridCol w:w="8013"/>
        <w:gridCol w:w="67"/>
      </w:tblGrid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Ф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</w:rPr>
              <w:t>Les récepteurs de sensibilité superficielle et profonde se localise sand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Terminaison neuronale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niveau sous-cortical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niveau cortical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Ganglion spinal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Quels récepteurs existent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Tous listés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Les interorécepteurs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 extérocepteurs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Les propriocepteurs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types de sensibilité profonde  ( proprioceptive) ( proprioceptive)  incluent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Tous listés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vibrantation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sensation musculaire-articulaire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tactile épicritique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 premier neurone pour la sensibilité  profonde ( proprioceptive) est: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ganglion spinal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corne postérieures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corne antérieur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cordons latéraux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 2ème neurone de sensibilité profonde  ( proprioceptive) situé dans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 noyaux de Gaulle et Burdach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corne postérieur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corne antérieur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dans le ganglion spinal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 2ème neurone de sensibilité superficielle (sensibilité thermoalgique et protopathique) (sensibilité thermoalgique et protopathique) est: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Corne postérieur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Cornes </w:t>
            </w:r>
            <w:r>
              <w:rPr>
                <w:rFonts w:eastAsia="Songti SC" w:cs="Arial Unicode MS" w:ascii="Times New Roman" w:hAnsi="Times New Roman"/>
                <w:color w:val="auto"/>
                <w:kern w:val="2"/>
                <w:sz w:val="20"/>
                <w:szCs w:val="24"/>
                <w:lang w:val="fr-FR" w:eastAsia="zh-CN" w:bidi="hi-IN"/>
              </w:rPr>
              <w:t>antérieur</w:t>
            </w:r>
            <w:r>
              <w:rPr>
                <w:rFonts w:ascii="Times New Roman" w:hAnsi="Times New Roman"/>
                <w:sz w:val="20"/>
              </w:rPr>
              <w:t xml:space="preserve"> de la </w:t>
            </w:r>
            <w:r>
              <w:rPr>
                <w:rFonts w:ascii="Times New Roman" w:hAnsi="Times New Roman"/>
                <w:sz w:val="20"/>
              </w:rPr>
              <w:t>diencephale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Corne antérieur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 ganglion spinal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Où se produit croisement de la ligne médian de 2éme neurones de sensibilité profonde   ( proprioceptive):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medulla oblongata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moelle 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cervelet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medulla oblongata dans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Où se produit croisement de la ligne médian de 2éme neurones de sensibilité profonde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medulla oblongata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moelle 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cervelet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medulla oblongata dans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 sensibilité  kinesthésique est 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Une sensation de position et de mouvement du corps dans l'espace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sensibilité aux vibrations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Sensation spatial bidimensionnel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Sensibilité à la douleur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L'analgésie c'est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 de la sensibilité à la douleur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 de la sensibilité à la température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trouble  des vibration  et de la sensibilité profond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de la sensibilité tactile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trouble  de la sensibilité se produit avec l’atteinte de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Tous les réponse sont juste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nerfs périphériques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cerveau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3ème neurone de la sensibilité superficielle (sensibilité thermoalgique et protopathique) est: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le thalamus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la moelle oblongue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3ème neurone de sensibilité profonde  ( proprioceptive) est: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le thalamus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la moelle oblongue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le lobe pariétal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À l'aide d'un Diapason, on étude quel type de sensibilité: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vibrant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tactile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douloureux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Température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01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La loi de l'arrangement excentrique des conducteurs longs s'applique à 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conducteurs de la sensibilité superficielle (sensibilité thermoalgique et protopathique)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conducteurs de sensibilité profonde  ( proprioceptive)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motoneurones centraux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Les types de sensibilité complexes comprennent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sensibilité spatial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sensibilité  de la stéréognose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sensibilité discriminatoire (épicritique)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La parasthèse est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la sensation se produit sans provoquer d'irritation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désensibilisation, réduction des sensations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une sensibilité accrue à diverses formes a le meme</w:t>
            </w:r>
            <w:r>
              <w:rPr/>
              <w:t> </w:t>
            </w:r>
            <w:r>
              <w:rPr>
                <w:rFonts w:ascii="Times New Roman" w:hAnsi="Times New Roman"/>
                <w:sz w:val="20"/>
              </w:rPr>
              <w:t>irritations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perservation de la sensibilité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Symptômes de tension: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tous répertoriés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Signe de lasègue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Signe de Matskevich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Signe de Wasserman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0"/>
              </w:rPr>
              <w:t>dans une lésion médullaire, choisi le type les troubles de la sensibilité qui se produise: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la zone d'innervation nerveuse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sous forme de gants et chaussettes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dans les membres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sous forme d'anneaux sur le corps et de rayures sur les membres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Avec une lésion radiculaire, choisi le type les troubles de la sensibilité qui se produise: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sous forme d'anneaux sur le corps et de rayures sur les membres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sous forme de gants et chaussettes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dans les membres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la zone d'innervation nerveuse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récepteurs proprioceptive (propriocepteurs) sont situés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les muscles, les ligaments, les articulations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peau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dans les organes internes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Dans une lésions de racine postérieur  à droite, au niveau D9-D10, troubles sensoriels, sont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par type segmentaire, en forme de demi-ceinture, au niveau de D9-D10, à droite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par type segmentaire, en forme de demi-ceinture, au niveau de D9-D10, à gauche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du niveau D9-D10 , à droite, selon le type de conducteur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du niveau D9-D10 , à gauche, selon le type de conducteur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Dans une lésions de racine postérieur  à droite, au niveau D9-D10, troubles sensoriels, sont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par type segmentaire, en forme de demi-ceinture, au niveau de D9-D10, à droite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par type segmentaire, en forme de demi-ceinture, au niveau de D9-D10, à gauche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du niveau D9-D10 , à droite, selon le type de conducteur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du niveau D9-D10 , à gauche, selon le type de conducteur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Si le tractus bulbo-thalamique est endommagée à droite, au niveau de D9-D10, ce sera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sensibilité profonde  ( proprioceptive) perturbée à partir du niveau de dommage, selon le type de conducteur, à droite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sensibilité profonde  ( proprioceptive) perturbée à partir du niveau de dommage, selon le type de conducteur, à gauche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en forme de demi-ceinture, au niveau de D9-D10, à droite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du niveau D9 -D10, à gauche, selon le type de conducteur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survenue de douleur est caractéristique de la lésion 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 racines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cornes antérieur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lobe pariétal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capsule interne 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Lorsqu une lésion du thalamus optique est caractérisé par: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 de la sensibilité superficielle (sensibilité thermoalgique et protopathique) et profonde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hémianopsie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hémialgie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survenue de douleur (hyperalgie) est caractéristique de la lésion 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Thalamus optique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Nerf optique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cortex cérébral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Voie optique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trouble  de la sensibilité, de la douleur et des éruptions vésiculaires, caractéristiques  la lésion de: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ganglion spinal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Cordon postérieur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Nerf périphérique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Corne  postérieur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En cas d'endommagement de la cordon latérale, lequel trouble sensorielles suivant se produiront: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douleur et température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douleur et température du côté affecté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sensibilité profonde  ( proprioceptive) du côté unilatéral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sensibilité profonde  ( proprioceptive) du côté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Des troubles de la sensibilité superficielle (sensibilité thermoalgique et protopathique) controlatéral et profonde du côté du la lésion  se produisent lorsque la lésion localisé a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moitié de la moelle épinière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Thalamus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Corne postérieur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Corne 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L'hémianopsie bitemporale se produit avec une lésion de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voie optique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nerf optique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partie médiale du chiasme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chiasme 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Si la capsule intérieure est endommagée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hémianopsie homonyme 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hémianopsie homonyme ipsélateral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hémianopsie hétéronyme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hémianopsie carrée racine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L'hémianopsie hétéronyme se produit avec une lésion de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chiasmas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voie optique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butte visuelle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capsule intérieure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L'hémianopsie du quadrant supérieur se produit avec une lésion de: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gyrus lingual du lobe occipital,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voie optique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lobe pariétal de l'hémisphère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gyrus lingual du lobe occipital, ipsilatéral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L'hémianopsie non quadrant inférieure se produit avec une lésion de: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occipital,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voie optique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lobe temporal de l'hémisphère controlatéral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gyrus sphénoïde du lobe occipital, ipsilatéral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L'anosmie unilatérale se produit avec la lésion de 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tractus olfactif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bulbe olfactif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triangle olfactif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 anosmie unilatérale se produit avec des dommages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tractus olfactif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lobe temporal, côté opposé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lobe temporal, du côté affecté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corps calleux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noyaux du nerf vestibulaire sont connectés avec: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avec tout ce qui précède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cervelet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noyaux des nerfs oculomoteurs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noyaux  de nerf vague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Pour le vertige vestibulaire est caractérisé par 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nystagmus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nausées Vomissements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changement dans la fréquence cardiaque, les chiffres de la pression artérielle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Pour étudier la fonction de l'analyseur vestibulaire, on utilise :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tests caloriques et rotationnels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Test de Rinne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Procédure de Weber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041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Pour étudier la fonction du nerf auditif, on utilise :</w:t>
            </w:r>
          </w:p>
        </w:tc>
        <w:tc>
          <w:tcPr>
            <w:tcW w:w="67" w:type="dxa"/>
            <w:tcBorders>
              <w:top w:val="single" w:sz="8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А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diapason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Б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de rotation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Test de Romberg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Г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calorique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left"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  <w:r>
              <w:rPr>
                <w:rFonts w:eastAsia="Calibri"/>
                <w:color w:val="FF0000"/>
                <w:sz w:val="20"/>
                <w:lang w:val="ru-RU"/>
              </w:rPr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  <w:r>
              <w:rPr>
                <w:rFonts w:eastAsia="Calibri"/>
                <w:color w:val="FF0000"/>
                <w:sz w:val="20"/>
                <w:lang w:val="ru-RU"/>
              </w:rPr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042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perte d' odeur s'appelle: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anosmie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amaurose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tourbillon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true"/>
              <w:bidi w:val="0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ageusia</w:t>
            </w:r>
          </w:p>
        </w:tc>
        <w:tc>
          <w:tcPr>
            <w:tcW w:w="67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LibreOffice/6.3.2.2$MacOSX_X86_64 LibreOffice_project/98b30e735bda24bc04ab42594c85f7fd8be07b9c</Application>
  <Pages>6</Pages>
  <Words>1582</Words>
  <Characters>7310</Characters>
  <CharactersWithSpaces>8343</CharactersWithSpaces>
  <Paragraphs>677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2020-05-17T22:32:04Z</dcterms:created>
  <dc:creator/>
  <dc:description/>
  <dc:language>fr-FR</dc:language>
  <cp:lastModifiedBy/>
  <dcterms:modified xsi:type="dcterms:W3CDTF">2020-05-18T14:46:14Z</dcterms:modified>
  <cp:revision>3</cp:revision>
  <dc:subject/>
  <dc:title/>
</cp:coreProperties>
</file>