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2020-2021 учебный год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Специальность:  «Лечебное дело» -  </w:t>
      </w:r>
      <w:r>
        <w:rPr>
          <w:rFonts w:eastAsia="Times New Roman" w:cs="Times New Roman" w:ascii="Times New Roman" w:hAnsi="Times New Roman"/>
          <w:bCs/>
          <w:sz w:val="24"/>
          <w:szCs w:val="24"/>
          <w:u w:val="single"/>
        </w:rPr>
        <w:t>3105.01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Дисциплина: "Неврология"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" w:eastAsiaTheme="minorEastAsia"/>
          <w:b/>
          <w:b/>
          <w:sz w:val="24"/>
          <w:szCs w:val="24"/>
        </w:rPr>
      </w:pPr>
      <w:r>
        <w:rPr>
          <w:rFonts w:eastAsia="" w:eastAsiaTheme="minorEastAsia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СИТУАЦИОННЫЕ ЗАДАЧИ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b/>
          <w:sz w:val="24"/>
          <w:szCs w:val="24"/>
        </w:rPr>
        <w:t>По теме Двигательный анализатор. Уровни поражения двигательного пути     (занятие 2)</w:t>
      </w:r>
    </w:p>
    <w:p>
      <w:pPr>
        <w:pStyle w:val="Normal"/>
        <w:bidi w:val="0"/>
        <w:jc w:val="center"/>
        <w:rPr/>
      </w:pPr>
      <w:r>
        <w:rPr>
          <w:sz w:val="24"/>
          <w:szCs w:val="24"/>
        </w:rPr>
        <w:t>Задача !.</w:t>
      </w:r>
    </w:p>
    <w:p>
      <w:pPr>
        <w:pStyle w:val="Normal"/>
        <w:widowControl/>
        <w:bidi w:val="0"/>
        <w:ind w:left="0" w:right="0" w:hanging="0"/>
        <w:jc w:val="center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 больного снижена сила в левых конечностях, отмечается атрофия дельтовидной и двуглавой мышцы слева, отсутствует биципитальный рефлекс слева, повышены триципитальный, карпорадиальный, коленный и ахиллов рефлексы слева. Снижены кожные брюшные рефлексы, а также на этой стороне вызываются патологические рефлексы Бабинского и Оппенгейма. </w:t>
      </w:r>
    </w:p>
    <w:p>
      <w:pPr>
        <w:pStyle w:val="Normal"/>
        <w:widowControl/>
        <w:bidi w:val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 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Le patient a une force réduite dans les extrémités gauches, une atrophie marquée des muscles deltoïdes et biceps à gauche, il n'y a pas de réflexe bitsipitalnye à gauche, tritsipitalnye augmenté 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arporadialny, genou et réflexes d'Achille gauche. Les réflexes abdominaux cutanés sont réduits, et les réflexes pathologiques de Babinsky et Oppenheim sont également provoqués de ce côté 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1. 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Quelle partie du système nerveux est affectée?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2. Qu'est - ce que l'absence d'un réflexe biceps indique?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3. Quelles sont les preuves des symptômes de Babinsky et Oppenheim?</w:t>
      </w:r>
    </w:p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4. Déterminer l'emplacement de la lésion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2020-2021 учебный год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Специальность:  «Лечебное дело» -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Дисциплина: "Неврология"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" w:eastAsiaTheme="minorEastAsia"/>
          <w:b/>
          <w:b/>
          <w:sz w:val="24"/>
          <w:szCs w:val="24"/>
        </w:rPr>
      </w:pPr>
      <w:r>
        <w:rPr>
          <w:rFonts w:eastAsia="" w:eastAsiaTheme="minorEastAsia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СИТУАЦИОННЫЕ ЗАДАЧИ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Задача 2.</w:t>
      </w:r>
    </w:p>
    <w:p>
      <w:pPr>
        <w:pStyle w:val="Normal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У больного имеется дизартрия, дисфония, язык не высовывает изо рта, глоточный и небный рефлексы сохранены. Имеются рефлексы орального автоматизма.  Где находится поражение, как называется этот синдром?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Le patient souffre de dysarthrie, de dysphonie , la langue ne dépasse pas de la bouche, les réflexes pharyngés et palatin sont préservés. Il y a des réflexes d'automatisme oral. Où est la lésion, quel est le nom de ce syndrome?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1. Quelle faiblesse musculaire est déterminée chez le patient?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 Qu'est - ce que le patient a des réflexes d'automatisme oral?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 xml:space="preserve"> 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3. Où se situe la lésion?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4. Quel est le nom de ce syndrome?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2020-2021 учебный год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Специальность:  «Лечебное дело» -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Дисциплина: "Неврология"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" w:eastAsiaTheme="minorEastAsia"/>
          <w:b/>
          <w:b/>
          <w:sz w:val="24"/>
          <w:szCs w:val="24"/>
        </w:rPr>
      </w:pPr>
      <w:r>
        <w:rPr>
          <w:rFonts w:eastAsia="" w:eastAsiaTheme="minorEastAsia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СИТУАЦИОННЫЕ ЗАДАЧИ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.    </w:t>
      </w:r>
    </w:p>
    <w:p>
      <w:pPr>
        <w:pStyle w:val="Normal"/>
        <w:bidi w:val="0"/>
        <w:jc w:val="center"/>
        <w:rPr/>
      </w:pPr>
      <w:r>
        <w:rPr>
          <w:sz w:val="24"/>
          <w:szCs w:val="24"/>
        </w:rPr>
        <w:t>Задача3.</w:t>
      </w:r>
    </w:p>
    <w:p>
      <w:pPr>
        <w:pStyle w:val="Normal"/>
        <w:widowControl/>
        <w:bidi w:val="0"/>
        <w:ind w:left="0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 больного  отсутствуют активные движения левой ноги. Наблюдается атония, атрофия ее мышц, фибриллярные подергивания в них .Отсутствует кремастерный, коленный, ахиллов и подошвенный рефлексы слева.</w:t>
      </w:r>
    </w:p>
    <w:p>
      <w:pPr>
        <w:pStyle w:val="Normal"/>
        <w:widowControl/>
        <w:bidi w:val="0"/>
        <w:ind w:left="0" w:right="0" w:hanging="0"/>
        <w:jc w:val="left"/>
        <w:rPr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Le patient n'a aucun mouvement actif de la jambe gauche. On observe une atonie, une atrophie de ses muscles, des contractions fibrillaires . Il n'y a pas de crémaster , de genou, d'Achille et de réflexes plantaires à gauche.</w:t>
      </w:r>
    </w:p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1. Qu'est-ce qui est affecté dans le système nerveux?</w:t>
      </w:r>
    </w:p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2. Quelle est l'absence de réflexes de la jambe gauche, d'atrophie?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3. Qu'indique la présence de contractions fibrillaires dans les muscles de la jambe gauche?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4. Déterminer l' emplacement de la lésion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LibreOffice/6.3.2.2$MacOSX_X86_64 LibreOffice_project/98b30e735bda24bc04ab42594c85f7fd8be07b9c</Application>
  <Pages>3</Pages>
  <Words>469</Words>
  <Characters>3078</Characters>
  <CharactersWithSpaces>3586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2020-05-20T16:22:12Z</dcterms:created>
  <dc:creator/>
  <dc:description/>
  <dc:language>fr-FR</dc:language>
  <cp:lastModifiedBy/>
  <dcterms:modified xsi:type="dcterms:W3CDTF">2020-05-20T16:24:29Z</dcterms:modified>
  <cp:revision>1</cp:revision>
  <dc:subject/>
  <dc:title/>
</cp:coreProperties>
</file>