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La liste question d’examen de neurologie.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Sujet "</w:t>
      </w:r>
      <w:bookmarkStart w:id="0" w:name="__DdeLink__27728_24470903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traumatisme crânien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»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41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75"/>
        <w:gridCol w:w="1076"/>
        <w:gridCol w:w="7490"/>
      </w:tblGrid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Ф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001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 traumatisme crânien ouverte doit être considéré comme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>Une plaie de l'aponévrose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Atteinte de tout les tissus mous du crane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>les abrasions des tissus mous du crane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plaie scalpée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 traumatisme crânien  qui pénétrant la boite crânien peut se présenté pas :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Une lésion de la dure-mére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Une Liquorrhée nasale et auriculaire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Une plaie avec des dommages à l'aponévrose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Une fracture du crâne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003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La contusion cérébrale est un signe de 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 traumatisme crânien légère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un traumatisme crânien modérer avec des les lésions cérébrales 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lésions cérébrales traumatiques graves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 traumatisme osseus du crâne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Une lésion cérébrale légère se manifeste par :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Perte de conscience pendant des dizaines de minutes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Perte de conscience pendant plus d'une heure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Symptômes de Souffrance du tronc cérébral 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Symptômes focaux brutal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Une lésion cérébrale grave se caractérise par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Perte de conscience pendant plusieurs jours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Souffrance de tronc cérébral 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Perte de conscience pendant plusieurs heures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Symptômes focaux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La compression du cerveau est caractérisée par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Perte de conscience après un léger intervalle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Perte de conscience au moment de le traumatisme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Symptômes de souffrance du tronc cérébral 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Avec une augmentation des symptômes de souffrance du tronc cérébral 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Pour le développement de la compression dans le contexte d'une contusion cérébrale sont caractéristiques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Symptômes de souffrance du tronc cérébral 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Symptômes neurologiques non focaux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Syndrome méningés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Perte de conscience prolongée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>Les caractéristiques du traumatisme crânien en temps de intervalle libre sont :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traumatisme sur fond d'intoxication alcoolique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Traumatisme multi-viscérale 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Blessure isolée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Tout ce qui précède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La perte de conscience avec une contusion cérébrale est le plus souvent pour la durée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Instantané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Jusqu'à 10 minutes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Pendant quelques dizaines de minutes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Plus d'une heure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Par amnésie post-traumatique rétrograde caractérisé pae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Amnésie pendant une courte période avant le traumatisme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Amnésie pendant une courte période après le traumatisme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Amnésie pendant une courte période de temps avant et après le traumatisme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Amnésie de la période de traumatisme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Les troubles végétatifs observés avec une contusion cérébrale comprennent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Transpiration accrue, frissons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Céphalée 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Photophobie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nausée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Dans une contusion cérébrale, les signes d’une souffrance de tronc cérébral sont :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Nystagmus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Signes  bilatéraux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Ophtalmoplégie vers le haut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Symptôme Mac-Gurevich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Dans une contusion cérébrale, les signes d’une souffrance de tronc cérébral sont :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Nystagmus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Signes  bilatéraux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ophtalmoplégie vers le haut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Symptôme Mac-Gurevich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Les symptômes mésencéphaliques dans les contusions cérébrales graves se manifestent par: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Syndrome de Hertwig-Magendie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 parésie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Nystagmus spontané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trouble de conscience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Une fracture ouverte de la voûte du crâne s'entend comme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tous les deux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Dommages aux tissus mous dans la projection de la fracture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Liquorrhée nasale et auriculaire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 l'un ni l'autre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0016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Une fracture de type embarrure de la voûte crânienne est caractérisée par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Plusieurs fragments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Lignes de fracture multiples 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Fragments osseux situés sous le niveau des os de la voûte crânienne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Tout ce qui précède est correct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0017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Les principales méthodes de diagnostic des fractures du crâne sont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Tout ce qui précède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diagnostic de craniogramme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diagnostic par radiographies de la base du crâne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Diagnostic basé sur des données cliniques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0018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Avec une fracture de la fosse crânienne antérieure, le syndrome diencéphalique est exprimé par :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Instabilité de l'hémodynamique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trouble du sommeil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Augmentation de la soif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Tous les reponse correcte </w:t>
            </w:r>
          </w:p>
        </w:tc>
      </w:tr>
      <w:tr>
        <w:trPr>
          <w:trHeight w:val="307" w:hRule="atLeast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0019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Les symptômes de traumatisme du bulle rachidien qui peuvent survenir lors d'une fracture de la fosse crânienne postérieure est exprimé par :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Tout ce qui précède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Dysphagie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Dysarthrie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Atteint du nerf trijumeau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0020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Les manifestations cliniques des hémorragies sous-arachnoïdiennes sont exprimée par: 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Céphalée intense 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hypertension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vertige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Photophobie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0021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Prise en charge de l'hémorragie sous-arachnoïdienne comprend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Ponction lombaire jusqu'à récupération complète de LCR clair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Ponction lombaire unique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 ambulatoire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Hospitalisation dans un hôpital pendant 1-2 semaines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0022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 hématome épidural se caractérise par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Perte de conscience, un intervalle libre, suivie d'une perte de conscience répétée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Perte de conscience après un traumatisme sans intervalle libre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Perte de conscience après un certain temps après le traumatisme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n'y a pas de perte de conscience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0023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Les symptômes focaux et les signes d'hématome épidural comprennent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Tout ce qui précède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Parésie centrale du nerf facial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Parésie dans le membre controlatéral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Dilatation de la pupille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0024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</w:rPr>
              <w:t>Aspect de LCR  dans les hématomes épiduraux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rougeâtre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Transparent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Xanthosis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Modérément rougeâtre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0025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L'hypertension de LCR est caractérisée par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cephalée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cephalée éclatant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Nausée et vomissements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Douleur dans les globes oculaires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0026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Les blessures sans altération de la fonction de la moelle épinière comprennent tous les éléments suivants, sauf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lésion de la moelle épinière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Lésion de la colonne vertébrale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Fracture des arcades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Fracture d'un corps vertébral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0027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 mécanisme le plus courant de dommages à la colonne vertébrale et à la moelle épinière au niveau cervical est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Blessure à la flexion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Traumatisme d'extension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Blessure par compression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Tout ce qui précède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0028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>les symptômes du traumatisme médullaire cervical inférieur ne comprend pas :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Parésie centrale des membres supérieurs, parésie périphérique des  membres inferieur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Parésie périphérique des membres supérieurs, Parésie centrale des des  membres inferieur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Tétraplégie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Syndrome de Gorner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0029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Approuver une lésion cérébrale est dans la nature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Crise épileptique 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parésie subséquente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augmentation des symptômes cérébraux locaux et généraux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Jackson's seizures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0030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Des troubles de la miction dans un traumatisme médullaire  lombaire supérieure se manifestent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L'urine est libérée lorsqu'elle s'accumule dans la vessie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Incontinence urinaire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La rétention urinaire puis l'incontinence urinaire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L'incontinence urinaire est remplacée par un retard urinaire</w:t>
            </w:r>
          </w:p>
        </w:tc>
      </w:tr>
      <w:tr>
        <w:trPr/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RC Cyril"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RC Cyril" w:hAnsi="Times NRC Cyril" w:eastAsia="Times New Roman" w:cs="Times New Roman"/>
      <w:color w:val="auto"/>
      <w:kern w:val="2"/>
      <w:sz w:val="28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LibreOffice/6.3.2.2$MacOSX_X86_64 LibreOffice_project/98b30e735bda24bc04ab42594c85f7fd8be07b9c</Application>
  <Pages>6</Pages>
  <Words>1171</Words>
  <Characters>5588</Characters>
  <CharactersWithSpaces>6365</CharactersWithSpaces>
  <Paragraphs>493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2020-05-16T13:26:50Z</dcterms:created>
  <dc:creator/>
  <dc:description/>
  <dc:language>fr-FR</dc:language>
  <cp:lastModifiedBy/>
  <dcterms:modified xsi:type="dcterms:W3CDTF">2020-05-19T10:48:00Z</dcterms:modified>
  <cp:revision>3</cp:revision>
  <dc:subject/>
  <dc:title/>
</cp:coreProperties>
</file>