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139"/>
        <w:gridCol w:w="3901"/>
        <w:gridCol w:w="900"/>
        <w:gridCol w:w="1827"/>
      </w:tblGrid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</w:t>
            </w: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вах рукопи</w:t>
            </w: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си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журнал, название,  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№, год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печатных  листов</w:t>
            </w:r>
            <w:proofErr w:type="gramEnd"/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>страниц</w:t>
            </w:r>
            <w:proofErr w:type="gramEnd"/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Фамилии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A7BD9">
              <w:rPr>
                <w:rFonts w:ascii="Times New Roman" w:hAnsi="Times New Roman" w:cs="Times New Roman"/>
                <w:b/>
                <w:sz w:val="24"/>
                <w:szCs w:val="24"/>
              </w:rPr>
              <w:t>соавторов</w:t>
            </w:r>
            <w:proofErr w:type="gramEnd"/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1.Состояние </w:t>
            </w:r>
            <w:proofErr w:type="spellStart"/>
            <w:r w:rsidRPr="006A7BD9">
              <w:rPr>
                <w:sz w:val="24"/>
                <w:szCs w:val="24"/>
              </w:rPr>
              <w:t>моноокси-геназной</w:t>
            </w:r>
            <w:proofErr w:type="spellEnd"/>
            <w:r w:rsidRPr="006A7BD9">
              <w:rPr>
                <w:sz w:val="24"/>
                <w:szCs w:val="24"/>
              </w:rPr>
              <w:t xml:space="preserve"> системы печени у больных </w:t>
            </w:r>
            <w:proofErr w:type="spellStart"/>
            <w:r w:rsidRPr="006A7BD9">
              <w:rPr>
                <w:sz w:val="24"/>
                <w:szCs w:val="24"/>
              </w:rPr>
              <w:t>лепроматозным</w:t>
            </w:r>
            <w:proofErr w:type="spellEnd"/>
            <w:r w:rsidRPr="006A7BD9">
              <w:rPr>
                <w:sz w:val="24"/>
                <w:szCs w:val="24"/>
              </w:rPr>
              <w:t xml:space="preserve"> типом лепры в процессе химиотерапии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науч.практ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молодых ученых Поволжья и Северного Кавказа, Н. Новгород, 2000г., С.203-204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В.З. Наумов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2. Состояние </w:t>
            </w:r>
            <w:proofErr w:type="spellStart"/>
            <w:r w:rsidRPr="006A7BD9">
              <w:rPr>
                <w:sz w:val="24"/>
                <w:szCs w:val="24"/>
              </w:rPr>
              <w:t>моноокси-геназной</w:t>
            </w:r>
            <w:proofErr w:type="spellEnd"/>
            <w:r w:rsidRPr="006A7BD9">
              <w:rPr>
                <w:sz w:val="24"/>
                <w:szCs w:val="24"/>
              </w:rPr>
              <w:t xml:space="preserve"> и </w:t>
            </w:r>
            <w:proofErr w:type="spellStart"/>
            <w:r w:rsidRPr="006A7BD9">
              <w:rPr>
                <w:sz w:val="24"/>
                <w:szCs w:val="24"/>
              </w:rPr>
              <w:t>ацетилтрансфе</w:t>
            </w:r>
            <w:proofErr w:type="spellEnd"/>
            <w:r w:rsidRPr="006A7BD9">
              <w:rPr>
                <w:sz w:val="24"/>
                <w:szCs w:val="24"/>
              </w:rPr>
              <w:t>-разной ферментных систем печени при лепре в процессе химиотерапии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национального </w:t>
            </w:r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конгресса  «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Человек и лекарство», 2000г., С.442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А.А. Ющенко,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В.З.Наумов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, М.В. Лозовская, З.Г. Умнова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>3. Биохимический контроль в процессе химиотерапии при лепре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научных работников и врачей, Астрахань, 2001г., 28с. 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В.З. Наумов, Н.Г.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Урляпова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, В.П.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Цемба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4.Воздействие </w:t>
            </w:r>
            <w:proofErr w:type="spellStart"/>
            <w:r w:rsidRPr="006A7BD9">
              <w:rPr>
                <w:sz w:val="24"/>
                <w:szCs w:val="24"/>
              </w:rPr>
              <w:t>диаминоди-фенилсульфона</w:t>
            </w:r>
            <w:proofErr w:type="spellEnd"/>
            <w:r w:rsidRPr="006A7BD9">
              <w:rPr>
                <w:sz w:val="24"/>
                <w:szCs w:val="24"/>
              </w:rPr>
              <w:t xml:space="preserve"> и </w:t>
            </w:r>
            <w:proofErr w:type="spellStart"/>
            <w:r w:rsidRPr="006A7BD9">
              <w:rPr>
                <w:sz w:val="24"/>
                <w:szCs w:val="24"/>
              </w:rPr>
              <w:t>рифампи-цина</w:t>
            </w:r>
            <w:proofErr w:type="spellEnd"/>
            <w:r w:rsidRPr="006A7BD9">
              <w:rPr>
                <w:sz w:val="24"/>
                <w:szCs w:val="24"/>
              </w:rPr>
              <w:t xml:space="preserve"> на </w:t>
            </w:r>
            <w:proofErr w:type="spellStart"/>
            <w:r w:rsidRPr="006A7BD9">
              <w:rPr>
                <w:sz w:val="24"/>
                <w:szCs w:val="24"/>
              </w:rPr>
              <w:t>монооксигеназную</w:t>
            </w:r>
            <w:proofErr w:type="spellEnd"/>
            <w:r w:rsidRPr="006A7BD9">
              <w:rPr>
                <w:sz w:val="24"/>
                <w:szCs w:val="24"/>
              </w:rPr>
              <w:t xml:space="preserve"> ферментную систему печени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национального </w:t>
            </w:r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конгресса  «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Человек и лекарство», 2001г., С.475-476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В.З. Наумов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5. Влияние активности </w:t>
            </w:r>
            <w:proofErr w:type="spellStart"/>
            <w:r w:rsidRPr="006A7BD9">
              <w:rPr>
                <w:sz w:val="24"/>
                <w:szCs w:val="24"/>
              </w:rPr>
              <w:t>микросомальных</w:t>
            </w:r>
            <w:proofErr w:type="spellEnd"/>
            <w:r w:rsidRPr="006A7BD9">
              <w:rPr>
                <w:sz w:val="24"/>
                <w:szCs w:val="24"/>
              </w:rPr>
              <w:t xml:space="preserve"> ферментов и </w:t>
            </w:r>
            <w:proofErr w:type="spellStart"/>
            <w:r w:rsidRPr="006A7BD9">
              <w:rPr>
                <w:sz w:val="24"/>
                <w:szCs w:val="24"/>
              </w:rPr>
              <w:t>ацетилирования</w:t>
            </w:r>
            <w:proofErr w:type="spellEnd"/>
            <w:r w:rsidRPr="006A7BD9">
              <w:rPr>
                <w:sz w:val="24"/>
                <w:szCs w:val="24"/>
              </w:rPr>
              <w:t xml:space="preserve"> на уровень метгемоглобина в процессе комбинированного лечения лепры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тезисов научных работ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съезда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дерматовенерологов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. Часть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– М., 2001, С.236.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В.З. Наумов</w:t>
            </w:r>
          </w:p>
        </w:tc>
      </w:tr>
      <w:tr w:rsidR="00D45B1C" w:rsidRPr="00D45B1C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A7BD9">
              <w:rPr>
                <w:sz w:val="24"/>
                <w:szCs w:val="24"/>
                <w:lang w:val="en-US"/>
              </w:rPr>
              <w:t xml:space="preserve">6. The effect of the activity microsomal enzymes and acetylation on </w:t>
            </w:r>
            <w:proofErr w:type="spellStart"/>
            <w:r w:rsidRPr="006A7BD9">
              <w:rPr>
                <w:sz w:val="24"/>
                <w:szCs w:val="24"/>
                <w:lang w:val="en-US"/>
              </w:rPr>
              <w:t>methhemoglobin</w:t>
            </w:r>
            <w:proofErr w:type="spellEnd"/>
            <w:r w:rsidRPr="006A7BD9">
              <w:rPr>
                <w:sz w:val="24"/>
                <w:szCs w:val="24"/>
                <w:lang w:val="en-US"/>
              </w:rPr>
              <w:t xml:space="preserve"> rate in leprosy patients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Int. Leprosy Congress: Book of abstracts. – Salvador,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Brasil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2002. – P.178-179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298/2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V.Z.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Naumov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V.P.Tsemba</w:t>
            </w:r>
            <w:proofErr w:type="spellEnd"/>
          </w:p>
        </w:tc>
      </w:tr>
      <w:tr w:rsidR="00D45B1C" w:rsidRPr="006A7BD9" w:rsidTr="008000A5">
        <w:trPr>
          <w:cantSplit/>
          <w:trHeight w:val="1176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7. Особенности реакции </w:t>
            </w:r>
            <w:proofErr w:type="spellStart"/>
            <w:r w:rsidRPr="006A7BD9">
              <w:rPr>
                <w:sz w:val="24"/>
                <w:szCs w:val="24"/>
              </w:rPr>
              <w:t>монооксигеназной</w:t>
            </w:r>
            <w:proofErr w:type="spellEnd"/>
            <w:r w:rsidRPr="006A7BD9">
              <w:rPr>
                <w:sz w:val="24"/>
                <w:szCs w:val="24"/>
              </w:rPr>
              <w:t xml:space="preserve"> системы печени в условиях лепрозного гепатита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Тезисы научных работ Первого Российского конгресса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дерматовенерологов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, Санкт-Петербург, 2003, Т.1, С.255-256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В.З. Наумов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lastRenderedPageBreak/>
              <w:t>8. Частота возникновения рецидивов у больных лепрой в зависимости от наличия заболеваний желудочно-кишечного тракта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Сборник тезисов Всероссийской конференции «Молодые ученые – медицине», Самара, 2003г., С115-116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Е.А. Заднепровская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9. Риск возникновения рецидивов заболевания у больных лепрой в зависимости от активности </w:t>
            </w:r>
            <w:proofErr w:type="spellStart"/>
            <w:r w:rsidRPr="006A7BD9">
              <w:rPr>
                <w:sz w:val="24"/>
                <w:szCs w:val="24"/>
              </w:rPr>
              <w:t>ацетилтранс-феразной</w:t>
            </w:r>
            <w:proofErr w:type="spellEnd"/>
            <w:r w:rsidRPr="006A7BD9">
              <w:rPr>
                <w:sz w:val="24"/>
                <w:szCs w:val="24"/>
              </w:rPr>
              <w:t xml:space="preserve"> ферментной системы печени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Сборник тезисов ежегодной науч.-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. конференции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ученых, Астрахань, 2003, С. 75-76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Е.А. Заднепровская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10. Выраженность осложнений лепрозных невритов в зависимости от активности </w:t>
            </w:r>
            <w:proofErr w:type="spellStart"/>
            <w:r w:rsidRPr="006A7BD9">
              <w:rPr>
                <w:sz w:val="24"/>
                <w:szCs w:val="24"/>
              </w:rPr>
              <w:t>монооксигеназной</w:t>
            </w:r>
            <w:proofErr w:type="spellEnd"/>
            <w:r w:rsidRPr="006A7BD9">
              <w:rPr>
                <w:sz w:val="24"/>
                <w:szCs w:val="24"/>
              </w:rPr>
              <w:t xml:space="preserve"> и ацетил-</w:t>
            </w:r>
            <w:proofErr w:type="spellStart"/>
            <w:r w:rsidRPr="006A7BD9">
              <w:rPr>
                <w:sz w:val="24"/>
                <w:szCs w:val="24"/>
              </w:rPr>
              <w:t>трансферазной</w:t>
            </w:r>
            <w:proofErr w:type="spellEnd"/>
            <w:r w:rsidRPr="006A7BD9">
              <w:rPr>
                <w:sz w:val="24"/>
                <w:szCs w:val="24"/>
              </w:rPr>
              <w:t xml:space="preserve"> ферментных систем печени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науч.-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. конференции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, Нукус, 29-31 октября, 2004г., С. 107-108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В.З. Наумов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11. Анализ социально-значимых </w:t>
            </w:r>
            <w:proofErr w:type="spellStart"/>
            <w:proofErr w:type="gramStart"/>
            <w:r w:rsidRPr="006A7BD9">
              <w:rPr>
                <w:sz w:val="24"/>
                <w:szCs w:val="24"/>
              </w:rPr>
              <w:t>дерматовенеро</w:t>
            </w:r>
            <w:proofErr w:type="spellEnd"/>
            <w:r w:rsidRPr="006A7BD9">
              <w:rPr>
                <w:sz w:val="24"/>
                <w:szCs w:val="24"/>
              </w:rPr>
              <w:t>-логических</w:t>
            </w:r>
            <w:proofErr w:type="gramEnd"/>
            <w:r w:rsidRPr="006A7BD9">
              <w:rPr>
                <w:sz w:val="24"/>
                <w:szCs w:val="24"/>
              </w:rPr>
              <w:t xml:space="preserve"> заболеваний на-селения Астраханской области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Всероссийской  науч.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. конференции с международным участием «Здоровье населения – основа процветания России», 2009г., С. 126-127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А.М. Курьянов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12. Заболевания, </w:t>
            </w:r>
            <w:proofErr w:type="gramStart"/>
            <w:r w:rsidRPr="006A7BD9">
              <w:rPr>
                <w:sz w:val="24"/>
                <w:szCs w:val="24"/>
              </w:rPr>
              <w:t>передающие-</w:t>
            </w:r>
            <w:proofErr w:type="spellStart"/>
            <w:r w:rsidRPr="006A7BD9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6A7BD9">
              <w:rPr>
                <w:sz w:val="24"/>
                <w:szCs w:val="24"/>
              </w:rPr>
              <w:t xml:space="preserve"> половым путем – как риск «социальной </w:t>
            </w:r>
            <w:proofErr w:type="spellStart"/>
            <w:r w:rsidRPr="006A7BD9">
              <w:rPr>
                <w:sz w:val="24"/>
                <w:szCs w:val="24"/>
              </w:rPr>
              <w:t>инвалидизации</w:t>
            </w:r>
            <w:proofErr w:type="spellEnd"/>
            <w:r w:rsidRPr="006A7BD9">
              <w:rPr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 социально-экономические аспекты обустройства и развития аридных территорий Российской Федерации, Москва, 2009г., С.272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А.М. Курьянов</w:t>
            </w:r>
          </w:p>
        </w:tc>
      </w:tr>
      <w:tr w:rsidR="00D45B1C" w:rsidRPr="006A7BD9" w:rsidTr="008000A5">
        <w:trPr>
          <w:cantSplit/>
          <w:trHeight w:val="329"/>
        </w:trPr>
        <w:tc>
          <w:tcPr>
            <w:tcW w:w="2880" w:type="dxa"/>
          </w:tcPr>
          <w:p w:rsidR="00D45B1C" w:rsidRPr="006A7BD9" w:rsidRDefault="00D45B1C" w:rsidP="008000A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6A7BD9">
              <w:rPr>
                <w:sz w:val="24"/>
                <w:szCs w:val="24"/>
              </w:rPr>
              <w:t xml:space="preserve">13. Распространенность </w:t>
            </w:r>
            <w:proofErr w:type="spellStart"/>
            <w:proofErr w:type="gramStart"/>
            <w:r w:rsidRPr="006A7BD9">
              <w:rPr>
                <w:sz w:val="24"/>
                <w:szCs w:val="24"/>
              </w:rPr>
              <w:t>пато</w:t>
            </w:r>
            <w:proofErr w:type="spellEnd"/>
            <w:r w:rsidRPr="006A7BD9">
              <w:rPr>
                <w:sz w:val="24"/>
                <w:szCs w:val="24"/>
              </w:rPr>
              <w:t>-логии</w:t>
            </w:r>
            <w:proofErr w:type="gramEnd"/>
            <w:r w:rsidRPr="006A7BD9">
              <w:rPr>
                <w:sz w:val="24"/>
                <w:szCs w:val="24"/>
              </w:rPr>
              <w:t xml:space="preserve"> среди детей сирот (по данным дома ребенка №2 г. Астрахани)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Международной  науч.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. конференции «Общественное здоровье, правовые, экономические и организационные аспекты модернизации здравоохранения Российской Федерации, Новосибирск, 14-15 октября, 20010г., С.522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Т.В. Пугачева, Н.Н. Курьянова, В.А.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Кадина</w:t>
            </w:r>
            <w:proofErr w:type="spellEnd"/>
          </w:p>
        </w:tc>
      </w:tr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14.Особенности клинической характеристики женщин, лечившихся в отделениях острых алкогольных психозов и хронического алкоголизма (статья)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Вестник Российской Военно-Медицинской Академии. - 2009, -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(25) - С. 282.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125/1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Курьянова Н.Н.</w:t>
            </w:r>
          </w:p>
        </w:tc>
      </w:tr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Анализ   профилактики искусственного прерывания беременности в Астраханской области за 2006-2013 годы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с международным участием «Здоровье населения – основа процветания России» (24-25 апреля 2013 года).  – Анапа, 2013, - С.164-166.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353\2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Кадина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Курьянова Н.Н.</w:t>
            </w:r>
          </w:p>
        </w:tc>
      </w:tr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16. Заболеваемость и смертность от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гастро-энтероонкологической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в Астраханской области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демографической политики и состояния здоровья населения РФ: Материалы Всероссийской науч.-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. конференции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. – Астрахань, АГМА, 2012, - С. 128-129.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401/2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Курьянова Н.Н.</w:t>
            </w:r>
          </w:p>
        </w:tc>
      </w:tr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17. Медико-социальные аспекты планирования семьи в городе Астрахани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Труды Астраханской Государственной медицинской академии: Высокотехнологичные и инновационные методы диагностики и лечения – в практику здравоохранения (к 95-летию основания ВУЗа) Том 43 (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), 2013, С. 8-9.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Кострыкина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Курьянова Н.Н.</w:t>
            </w:r>
          </w:p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Сердюков А.Г.</w:t>
            </w:r>
          </w:p>
        </w:tc>
      </w:tr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18. Анализ факторов, влияющих на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брачность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и разводимость (статья)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докладов «Научное </w:t>
            </w:r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обеспечение  социально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и экологической безопасности АПК». – Москва: Изд-во «Вестник Российской академии сельскохозяйственных наук», 2012, - С. 243-245.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326\3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Курьянова Н.Н., Х.М. </w:t>
            </w: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Маккашарипова</w:t>
            </w:r>
            <w:proofErr w:type="spellEnd"/>
          </w:p>
        </w:tc>
      </w:tr>
      <w:tr w:rsidR="00D45B1C" w:rsidRPr="006A7BD9" w:rsidTr="008000A5">
        <w:trPr>
          <w:cantSplit/>
          <w:trHeight w:val="1134"/>
        </w:trPr>
        <w:tc>
          <w:tcPr>
            <w:tcW w:w="2880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19. Физиология эндокринной системы</w:t>
            </w:r>
          </w:p>
        </w:tc>
        <w:tc>
          <w:tcPr>
            <w:tcW w:w="1139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901" w:type="dxa"/>
          </w:tcPr>
          <w:p w:rsidR="00D45B1C" w:rsidRPr="006A7BD9" w:rsidRDefault="00D45B1C" w:rsidP="008000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Учебное  пособие</w:t>
            </w:r>
            <w:proofErr w:type="gram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</w:t>
            </w:r>
            <w:r w:rsidRPr="006A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курса лечебного, педиатрического, медико-профилактического, стоматологического и фармацевтического факультетов. Астрахань, 2020г., 66с.</w:t>
            </w:r>
          </w:p>
        </w:tc>
        <w:tc>
          <w:tcPr>
            <w:tcW w:w="900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:rsidR="00D45B1C" w:rsidRPr="006A7BD9" w:rsidRDefault="00D45B1C" w:rsidP="008000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 w:rsidRPr="006A7BD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727793" w:rsidRDefault="00727793">
      <w:bookmarkStart w:id="0" w:name="_GoBack"/>
      <w:bookmarkEnd w:id="0"/>
    </w:p>
    <w:sectPr w:rsidR="0072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66"/>
    <w:rsid w:val="00245E66"/>
    <w:rsid w:val="00727793"/>
    <w:rsid w:val="00D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A300-42EB-4603-9258-D417347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2020-10-21T12:38:00Z</dcterms:created>
  <dcterms:modified xsi:type="dcterms:W3CDTF">2020-10-21T12:39:00Z</dcterms:modified>
</cp:coreProperties>
</file>